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BE8" w:rsidRPr="005172A3" w:rsidRDefault="00E60BE8" w:rsidP="00FF507D">
      <w:pPr>
        <w:pStyle w:val="a5"/>
        <w:spacing w:line="240" w:lineRule="auto"/>
        <w:rPr>
          <w:rFonts w:ascii="Arial" w:hAnsi="Arial"/>
          <w:color w:val="FF0000"/>
          <w:szCs w:val="36"/>
          <w:rtl/>
        </w:rPr>
      </w:pPr>
    </w:p>
    <w:p w:rsidR="001C7C39" w:rsidRPr="008D289C" w:rsidRDefault="001C7C39" w:rsidP="00116EE2">
      <w:pPr>
        <w:pStyle w:val="a5"/>
        <w:spacing w:line="240" w:lineRule="auto"/>
        <w:outlineLvl w:val="1"/>
        <w:rPr>
          <w:rFonts w:ascii="Arial" w:hAnsi="Arial"/>
          <w:szCs w:val="36"/>
          <w:rtl/>
        </w:rPr>
      </w:pPr>
      <w:r w:rsidRPr="008D289C">
        <w:rPr>
          <w:rFonts w:ascii="Arial" w:hAnsi="Arial"/>
          <w:szCs w:val="36"/>
          <w:rtl/>
        </w:rPr>
        <w:t xml:space="preserve">פרק </w:t>
      </w:r>
      <w:r w:rsidR="001F5095" w:rsidRPr="008D289C">
        <w:rPr>
          <w:rFonts w:ascii="Arial" w:hAnsi="Arial" w:hint="cs"/>
          <w:szCs w:val="36"/>
          <w:rtl/>
        </w:rPr>
        <w:t>10</w:t>
      </w:r>
      <w:r w:rsidRPr="008D289C">
        <w:rPr>
          <w:rFonts w:ascii="Arial" w:hAnsi="Arial"/>
          <w:szCs w:val="36"/>
          <w:rtl/>
        </w:rPr>
        <w:t xml:space="preserve"> </w:t>
      </w:r>
      <w:r w:rsidR="00377799" w:rsidRPr="008D289C">
        <w:rPr>
          <w:rFonts w:ascii="Arial" w:hAnsi="Arial" w:hint="cs"/>
          <w:szCs w:val="36"/>
          <w:rtl/>
        </w:rPr>
        <w:t>-</w:t>
      </w:r>
      <w:r w:rsidRPr="008D289C">
        <w:rPr>
          <w:rFonts w:ascii="Arial" w:hAnsi="Arial"/>
          <w:szCs w:val="36"/>
          <w:rtl/>
        </w:rPr>
        <w:t xml:space="preserve"> </w:t>
      </w:r>
      <w:r w:rsidR="00D57B35" w:rsidRPr="008D289C">
        <w:rPr>
          <w:rFonts w:ascii="Arial" w:hAnsi="Arial" w:hint="cs"/>
          <w:szCs w:val="36"/>
          <w:rtl/>
        </w:rPr>
        <w:t>עסקים</w:t>
      </w:r>
      <w:r w:rsidR="00377799" w:rsidRPr="008D289C">
        <w:rPr>
          <w:rFonts w:ascii="Arial" w:hAnsi="Arial" w:hint="cs"/>
          <w:szCs w:val="36"/>
          <w:rtl/>
        </w:rPr>
        <w:t xml:space="preserve"> ו</w:t>
      </w:r>
      <w:r w:rsidR="001F5095" w:rsidRPr="008D289C">
        <w:rPr>
          <w:rFonts w:ascii="Arial" w:hAnsi="Arial" w:hint="cs"/>
          <w:szCs w:val="36"/>
          <w:rtl/>
        </w:rPr>
        <w:t>תעשייה</w:t>
      </w:r>
    </w:p>
    <w:p w:rsidR="008834F8" w:rsidRPr="005172A3" w:rsidRDefault="008834F8">
      <w:pPr>
        <w:pStyle w:val="a6"/>
        <w:spacing w:line="240" w:lineRule="auto"/>
        <w:rPr>
          <w:rFonts w:ascii="Arial" w:hAnsi="Arial"/>
          <w:szCs w:val="34"/>
          <w:rtl/>
        </w:rPr>
      </w:pPr>
    </w:p>
    <w:p w:rsidR="001C7C39" w:rsidRPr="008D289C" w:rsidRDefault="001C7C39" w:rsidP="00116EE2">
      <w:pPr>
        <w:pStyle w:val="a6"/>
        <w:spacing w:line="240" w:lineRule="auto"/>
        <w:outlineLvl w:val="2"/>
        <w:rPr>
          <w:rFonts w:ascii="Arial" w:hAnsi="Arial"/>
          <w:color w:val="auto"/>
          <w:spacing w:val="2"/>
          <w:szCs w:val="34"/>
          <w:rtl/>
        </w:rPr>
      </w:pPr>
      <w:r w:rsidRPr="008D289C">
        <w:rPr>
          <w:rFonts w:ascii="Arial" w:hAnsi="Arial"/>
          <w:color w:val="auto"/>
          <w:spacing w:val="2"/>
          <w:szCs w:val="34"/>
          <w:rtl/>
        </w:rPr>
        <w:t>מקורות והגדרות</w:t>
      </w:r>
    </w:p>
    <w:p w:rsidR="008C04A7" w:rsidRPr="00681B55" w:rsidRDefault="008C04A7" w:rsidP="00681B55">
      <w:pPr>
        <w:pStyle w:val="4"/>
        <w:rPr>
          <w:rtl/>
        </w:rPr>
      </w:pPr>
      <w:r w:rsidRPr="00681B55">
        <w:rPr>
          <w:rtl/>
        </w:rPr>
        <w:t>לוח</w:t>
      </w:r>
      <w:r w:rsidRPr="00681B55">
        <w:rPr>
          <w:rFonts w:hint="cs"/>
          <w:rtl/>
        </w:rPr>
        <w:t>ות</w:t>
      </w:r>
      <w:r w:rsidRPr="00681B55">
        <w:rPr>
          <w:rtl/>
        </w:rPr>
        <w:t xml:space="preserve"> </w:t>
      </w:r>
      <w:r w:rsidRPr="00681B55">
        <w:rPr>
          <w:rFonts w:hint="cs"/>
          <w:rtl/>
        </w:rPr>
        <w:t>3-1</w:t>
      </w:r>
      <w:r w:rsidRPr="00681B55">
        <w:rPr>
          <w:rtl/>
        </w:rPr>
        <w:t xml:space="preserve">: </w:t>
      </w:r>
      <w:proofErr w:type="spellStart"/>
      <w:r w:rsidRPr="00681B55">
        <w:rPr>
          <w:rtl/>
        </w:rPr>
        <w:t>הלמ"ס</w:t>
      </w:r>
      <w:proofErr w:type="spellEnd"/>
      <w:r w:rsidRPr="00681B55">
        <w:rPr>
          <w:rtl/>
        </w:rPr>
        <w:t xml:space="preserve">, </w:t>
      </w:r>
      <w:r w:rsidR="00591BA2" w:rsidRPr="00681B55">
        <w:rPr>
          <w:rFonts w:hint="cs"/>
          <w:rtl/>
        </w:rPr>
        <w:t>מרשם עסקים</w:t>
      </w:r>
    </w:p>
    <w:p w:rsidR="008C04A7" w:rsidRPr="005172A3" w:rsidRDefault="008C04A7" w:rsidP="00B331CD">
      <w:pPr>
        <w:pStyle w:val="a0"/>
        <w:spacing w:line="120" w:lineRule="auto"/>
        <w:rPr>
          <w:b w:val="0"/>
          <w:bCs w:val="0"/>
          <w:rtl/>
        </w:rPr>
      </w:pPr>
    </w:p>
    <w:p w:rsidR="00171E35" w:rsidRDefault="00171E35" w:rsidP="000C6C95">
      <w:pPr>
        <w:ind w:right="-196"/>
        <w:jc w:val="both"/>
        <w:rPr>
          <w:rFonts w:ascii="Arial" w:hAnsi="Arial" w:cs="David"/>
          <w:sz w:val="24"/>
          <w:szCs w:val="24"/>
          <w:rtl/>
        </w:rPr>
      </w:pPr>
      <w:r w:rsidRPr="008D289C">
        <w:rPr>
          <w:rFonts w:ascii="Arial" w:hAnsi="Arial" w:cs="David" w:hint="cs"/>
          <w:sz w:val="24"/>
          <w:szCs w:val="24"/>
          <w:rtl/>
        </w:rPr>
        <w:t>נתוני</w:t>
      </w:r>
      <w:r w:rsidR="003A449B" w:rsidRPr="008D289C">
        <w:rPr>
          <w:rFonts w:ascii="Arial" w:hAnsi="Arial" w:cs="David" w:hint="cs"/>
          <w:sz w:val="24"/>
          <w:szCs w:val="24"/>
          <w:rtl/>
        </w:rPr>
        <w:t>ם על</w:t>
      </w:r>
      <w:r w:rsidRPr="008D289C">
        <w:rPr>
          <w:rFonts w:ascii="Arial" w:hAnsi="Arial" w:cs="David" w:hint="cs"/>
          <w:sz w:val="24"/>
          <w:szCs w:val="24"/>
          <w:rtl/>
        </w:rPr>
        <w:t xml:space="preserve"> מספר עסקים ו</w:t>
      </w:r>
      <w:r w:rsidR="003A449B" w:rsidRPr="008D289C">
        <w:rPr>
          <w:rFonts w:ascii="Arial" w:hAnsi="Arial" w:cs="David" w:hint="cs"/>
          <w:sz w:val="24"/>
          <w:szCs w:val="24"/>
          <w:rtl/>
        </w:rPr>
        <w:t xml:space="preserve">על </w:t>
      </w:r>
      <w:r w:rsidRPr="008D289C">
        <w:rPr>
          <w:rFonts w:ascii="Arial" w:hAnsi="Arial" w:cs="David" w:hint="cs"/>
          <w:sz w:val="24"/>
          <w:szCs w:val="24"/>
          <w:rtl/>
        </w:rPr>
        <w:t xml:space="preserve">פתיחה וסגירה של עסקים מופקים מתוך מאגר המידע של מרשם העסקים שהוקם בלשכה המרכזית לסטטיסטיקה בשנת 2003. מרשם העסקים כולל בתוכו מידע מקובץ </w:t>
      </w:r>
      <w:proofErr w:type="spellStart"/>
      <w:r w:rsidRPr="008D289C">
        <w:rPr>
          <w:rFonts w:ascii="Arial" w:hAnsi="Arial" w:cs="David" w:hint="cs"/>
          <w:sz w:val="24"/>
          <w:szCs w:val="24"/>
          <w:rtl/>
        </w:rPr>
        <w:t>עוסקי</w:t>
      </w:r>
      <w:proofErr w:type="spellEnd"/>
      <w:r w:rsidRPr="008D289C">
        <w:rPr>
          <w:rFonts w:ascii="Arial" w:hAnsi="Arial" w:cs="David" w:hint="cs"/>
          <w:sz w:val="24"/>
          <w:szCs w:val="24"/>
          <w:rtl/>
        </w:rPr>
        <w:t xml:space="preserve"> מע"מ ומקובץ מעסיקים של המוסד לביטוח לאומי. </w:t>
      </w: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16EE2" w:rsidRPr="00DA7B30" w:rsidTr="00CC5A8D">
        <w:tc>
          <w:tcPr>
            <w:tcW w:w="2209" w:type="dxa"/>
          </w:tcPr>
          <w:p w:rsidR="00116EE2" w:rsidRPr="00200C35" w:rsidRDefault="00116EE2"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מספר עסקים</w:t>
            </w:r>
          </w:p>
        </w:tc>
        <w:tc>
          <w:tcPr>
            <w:tcW w:w="6521" w:type="dxa"/>
            <w:shd w:val="clear" w:color="auto" w:fill="auto"/>
          </w:tcPr>
          <w:p w:rsidR="00116EE2" w:rsidRPr="00CC5A8D" w:rsidRDefault="00116EE2" w:rsidP="00CC5A8D">
            <w:pPr>
              <w:pStyle w:val="af0"/>
              <w:numPr>
                <w:ilvl w:val="0"/>
                <w:numId w:val="12"/>
              </w:numPr>
              <w:ind w:left="142" w:hanging="142"/>
              <w:jc w:val="both"/>
              <w:rPr>
                <w:sz w:val="24"/>
                <w:szCs w:val="24"/>
                <w:rtl/>
              </w:rPr>
            </w:pPr>
            <w:r w:rsidRPr="00CC5A8D">
              <w:rPr>
                <w:rFonts w:hint="cs"/>
                <w:szCs w:val="24"/>
                <w:rtl/>
              </w:rPr>
              <w:t>כולל את כל העסקים שנרשמה בהם פעילות של חודש אחד לפחות באותה שנה (נתוני העסקה ו/או נתוני מע"מ: פדיון או תשומות) וכולל עסקים שיש ברשותם נתוני העסקת שכירים לפחות חודש אחד באותה שנה, שאינם חייבים בדיווח לשלטונות מס ערך מוסף (כגון בנקים, חברות ביטוח, מלכ"רים ומוסדות מינהל ציבורי).</w:t>
            </w:r>
            <w:r w:rsidRPr="00CC5A8D">
              <w:rPr>
                <w:rFonts w:hint="cs"/>
                <w:sz w:val="24"/>
                <w:szCs w:val="24"/>
                <w:rtl/>
              </w:rPr>
              <w:t xml:space="preserve"> </w:t>
            </w:r>
          </w:p>
        </w:tc>
      </w:tr>
      <w:tr w:rsidR="00116EE2" w:rsidRPr="00DA7B30" w:rsidTr="00CC5A8D">
        <w:tc>
          <w:tcPr>
            <w:tcW w:w="2209" w:type="dxa"/>
          </w:tcPr>
          <w:p w:rsidR="00116EE2" w:rsidRPr="00200C35" w:rsidRDefault="00116EE2"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פתיחה וסגירה של  עסקים במגזר העסקי</w:t>
            </w:r>
          </w:p>
        </w:tc>
        <w:tc>
          <w:tcPr>
            <w:tcW w:w="6521" w:type="dxa"/>
            <w:shd w:val="clear" w:color="auto" w:fill="auto"/>
          </w:tcPr>
          <w:p w:rsidR="00116EE2" w:rsidRPr="00CC5A8D" w:rsidRDefault="00116EE2" w:rsidP="00CC5A8D">
            <w:pPr>
              <w:pStyle w:val="af0"/>
              <w:numPr>
                <w:ilvl w:val="0"/>
                <w:numId w:val="12"/>
              </w:numPr>
              <w:ind w:left="142" w:hanging="142"/>
              <w:jc w:val="both"/>
              <w:rPr>
                <w:sz w:val="24"/>
                <w:szCs w:val="24"/>
                <w:rtl/>
              </w:rPr>
            </w:pPr>
            <w:r w:rsidRPr="00CC5A8D">
              <w:rPr>
                <w:rFonts w:hint="cs"/>
                <w:sz w:val="24"/>
                <w:szCs w:val="24"/>
                <w:rtl/>
              </w:rPr>
              <w:t>בפתיחות עסקים כלולים עסקים שדווח על תחילת פעילות ברשויות המע"מ במהלך השנה, גם אם לא דיווחו על נתוני מע"מ (פדיון או תשומות). בכלל זה נמנו גם עסקים שנחשבו סגורים ודווח על חידוש פעילותם. בסגירות עסקים כלולים עסקים שדווח על סגירתם ברשויות המע"מ  במהלך השנה.</w:t>
            </w:r>
          </w:p>
        </w:tc>
      </w:tr>
    </w:tbl>
    <w:p w:rsidR="001C7C39" w:rsidRPr="008D289C" w:rsidRDefault="001C7C39" w:rsidP="00681B55">
      <w:pPr>
        <w:pStyle w:val="4"/>
        <w:rPr>
          <w:rtl/>
        </w:rPr>
      </w:pPr>
      <w:r w:rsidRPr="008D289C">
        <w:rPr>
          <w:rtl/>
        </w:rPr>
        <w:t xml:space="preserve">לוחות </w:t>
      </w:r>
      <w:r w:rsidR="008C04A7" w:rsidRPr="008D289C">
        <w:rPr>
          <w:rFonts w:hint="cs"/>
          <w:rtl/>
        </w:rPr>
        <w:t>7</w:t>
      </w:r>
      <w:r w:rsidRPr="008D289C">
        <w:rPr>
          <w:rtl/>
        </w:rPr>
        <w:t>-</w:t>
      </w:r>
      <w:r w:rsidR="008C04A7" w:rsidRPr="008D289C">
        <w:rPr>
          <w:rFonts w:hint="cs"/>
          <w:rtl/>
        </w:rPr>
        <w:t>4</w:t>
      </w:r>
      <w:r w:rsidRPr="008D289C">
        <w:rPr>
          <w:rtl/>
        </w:rPr>
        <w:t>:</w:t>
      </w:r>
      <w:r w:rsidR="00DB1B23" w:rsidRPr="008D289C">
        <w:rPr>
          <w:rFonts w:hint="cs"/>
          <w:rtl/>
        </w:rPr>
        <w:t xml:space="preserve"> </w:t>
      </w:r>
      <w:r w:rsidRPr="008D289C">
        <w:rPr>
          <w:rtl/>
        </w:rPr>
        <w:t>ע'</w:t>
      </w:r>
      <w:r w:rsidR="00FF507D" w:rsidRPr="008D289C">
        <w:rPr>
          <w:rFonts w:hint="cs"/>
          <w:rtl/>
        </w:rPr>
        <w:t>/</w:t>
      </w:r>
      <w:r w:rsidRPr="008D289C">
        <w:rPr>
          <w:rtl/>
        </w:rPr>
        <w:t>אגף הגביה, ע'</w:t>
      </w:r>
      <w:r w:rsidR="00FF507D" w:rsidRPr="008D289C">
        <w:rPr>
          <w:rFonts w:hint="cs"/>
          <w:rtl/>
        </w:rPr>
        <w:t>/</w:t>
      </w:r>
      <w:r w:rsidRPr="008D289C">
        <w:rPr>
          <w:rtl/>
        </w:rPr>
        <w:t>המרכז למחקר כלכלי וחברתי</w:t>
      </w:r>
    </w:p>
    <w:p w:rsidR="001C7C39" w:rsidRPr="008D289C" w:rsidRDefault="001C7C39" w:rsidP="00B331CD">
      <w:pPr>
        <w:spacing w:line="120" w:lineRule="auto"/>
        <w:ind w:right="-992"/>
        <w:rPr>
          <w:rFonts w:ascii="Arial" w:hAnsi="Arial" w:cs="David"/>
          <w:spacing w:val="4"/>
          <w:rtl/>
        </w:rPr>
      </w:pPr>
    </w:p>
    <w:p w:rsidR="008F73BB" w:rsidRDefault="001C7C39" w:rsidP="00793BC1">
      <w:pPr>
        <w:ind w:right="-426"/>
        <w:rPr>
          <w:rFonts w:ascii="Arial" w:hAnsi="Arial" w:cs="David"/>
          <w:spacing w:val="2"/>
          <w:sz w:val="24"/>
          <w:szCs w:val="24"/>
          <w:rtl/>
        </w:rPr>
      </w:pPr>
      <w:r w:rsidRPr="008D289C">
        <w:rPr>
          <w:rFonts w:ascii="Arial" w:hAnsi="Arial" w:cs="David"/>
          <w:spacing w:val="2"/>
          <w:sz w:val="24"/>
          <w:szCs w:val="24"/>
          <w:rtl/>
        </w:rPr>
        <w:t xml:space="preserve">הנתונים מבוססים על קובץ חייבי ארנונה שלא למגורים בהתאם לסיווג האחיד של ענפי כלכלה, 1961, </w:t>
      </w:r>
      <w:proofErr w:type="spellStart"/>
      <w:r w:rsidRPr="008D289C">
        <w:rPr>
          <w:rFonts w:ascii="Arial" w:hAnsi="Arial" w:cs="David"/>
          <w:spacing w:val="2"/>
          <w:sz w:val="24"/>
          <w:szCs w:val="24"/>
          <w:rtl/>
        </w:rPr>
        <w:t>הלמ"ס</w:t>
      </w:r>
      <w:proofErr w:type="spellEnd"/>
      <w:r w:rsidRPr="008D289C">
        <w:rPr>
          <w:rFonts w:ascii="Arial" w:hAnsi="Arial" w:cs="David"/>
          <w:spacing w:val="2"/>
          <w:sz w:val="24"/>
          <w:szCs w:val="24"/>
          <w:rtl/>
        </w:rPr>
        <w:t>. לדוגמ</w:t>
      </w:r>
      <w:r w:rsidR="00793BC1" w:rsidRPr="008D289C">
        <w:rPr>
          <w:rFonts w:ascii="Arial" w:hAnsi="Arial" w:cs="David" w:hint="cs"/>
          <w:spacing w:val="2"/>
          <w:sz w:val="24"/>
          <w:szCs w:val="24"/>
          <w:rtl/>
        </w:rPr>
        <w:t>ה</w:t>
      </w:r>
      <w:r w:rsidRPr="008D289C">
        <w:rPr>
          <w:rFonts w:ascii="Arial" w:hAnsi="Arial" w:cs="David"/>
          <w:spacing w:val="2"/>
          <w:sz w:val="24"/>
          <w:szCs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7-4: ע'/אגף הגביה, ע'/המרכז למחקר כלכלי וחברתי"/>
      </w:tblPr>
      <w:tblGrid>
        <w:gridCol w:w="2209"/>
        <w:gridCol w:w="6521"/>
      </w:tblGrid>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תחבורה ואחסנה</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השכרת רכב, סוכנויות נסיעות, חניונים מקורים, מחסנים וכד'</w:t>
            </w:r>
            <w:r w:rsidRPr="00CC5A8D">
              <w:rPr>
                <w:rFonts w:hint="cs"/>
                <w:sz w:val="24"/>
                <w:szCs w:val="24"/>
                <w:rtl/>
              </w:rPr>
              <w:t>.</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ציבוריים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משרדי ממשלה, עירייה, מוסדות חינוך, בריאות וכד'</w:t>
            </w:r>
            <w:r w:rsidRPr="00CC5A8D">
              <w:rPr>
                <w:rFonts w:hint="cs"/>
                <w:sz w:val="24"/>
                <w:szCs w:val="24"/>
                <w:rtl/>
              </w:rPr>
              <w:t>.</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עסקיים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 xml:space="preserve">משרדי עו"ד, ייעוץ, פרסום </w:t>
            </w:r>
            <w:proofErr w:type="spellStart"/>
            <w:r w:rsidRPr="00CC5A8D">
              <w:rPr>
                <w:sz w:val="24"/>
                <w:szCs w:val="24"/>
                <w:rtl/>
              </w:rPr>
              <w:t>וכו</w:t>
            </w:r>
            <w:proofErr w:type="spellEnd"/>
            <w:r w:rsidRPr="00CC5A8D">
              <w:rPr>
                <w:sz w:val="24"/>
                <w:szCs w:val="24"/>
                <w:rtl/>
              </w:rPr>
              <w:t>'.</w:t>
            </w:r>
          </w:p>
        </w:tc>
      </w:tr>
      <w:tr w:rsidR="00681B55" w:rsidRPr="00DA7B30" w:rsidTr="00CC5A8D">
        <w:tc>
          <w:tcPr>
            <w:tcW w:w="2209" w:type="dxa"/>
            <w:vAlign w:val="center"/>
          </w:tcPr>
          <w:p w:rsidR="00681B55" w:rsidRPr="00200C35" w:rsidRDefault="00681B55" w:rsidP="00CC5A8D">
            <w:pPr>
              <w:spacing w:before="80"/>
              <w:rPr>
                <w:rFonts w:ascii="Arial" w:hAnsi="Arial" w:cs="David"/>
                <w:b/>
                <w:bCs/>
                <w:spacing w:val="4"/>
                <w:sz w:val="24"/>
                <w:szCs w:val="24"/>
                <w:rtl/>
              </w:rPr>
            </w:pPr>
            <w:r w:rsidRPr="00200C35">
              <w:rPr>
                <w:rFonts w:ascii="Arial" w:hAnsi="Arial" w:cs="David" w:hint="cs"/>
                <w:b/>
                <w:bCs/>
                <w:spacing w:val="4"/>
                <w:sz w:val="24"/>
                <w:szCs w:val="24"/>
                <w:rtl/>
              </w:rPr>
              <w:t>שירותים אישיים</w:t>
            </w:r>
          </w:p>
        </w:tc>
        <w:tc>
          <w:tcPr>
            <w:tcW w:w="6521" w:type="dxa"/>
            <w:shd w:val="clear" w:color="auto" w:fill="auto"/>
            <w:vAlign w:val="center"/>
          </w:tcPr>
          <w:p w:rsidR="00681B55" w:rsidRPr="00CC5A8D" w:rsidRDefault="00681B55" w:rsidP="00CC5A8D">
            <w:pPr>
              <w:pStyle w:val="af0"/>
              <w:numPr>
                <w:ilvl w:val="0"/>
                <w:numId w:val="12"/>
              </w:numPr>
              <w:ind w:left="142" w:hanging="142"/>
              <w:rPr>
                <w:sz w:val="24"/>
                <w:szCs w:val="24"/>
                <w:rtl/>
              </w:rPr>
            </w:pPr>
            <w:r w:rsidRPr="00CC5A8D">
              <w:rPr>
                <w:sz w:val="24"/>
                <w:szCs w:val="24"/>
                <w:rtl/>
              </w:rPr>
              <w:t xml:space="preserve">מספרות, מכבסות, בתי קפה, מסעדות, בתי מלון </w:t>
            </w:r>
            <w:proofErr w:type="spellStart"/>
            <w:r w:rsidRPr="00CC5A8D">
              <w:rPr>
                <w:sz w:val="24"/>
                <w:szCs w:val="24"/>
                <w:rtl/>
              </w:rPr>
              <w:t>וכו</w:t>
            </w:r>
            <w:proofErr w:type="spellEnd"/>
            <w:r w:rsidRPr="00CC5A8D">
              <w:rPr>
                <w:sz w:val="24"/>
                <w:szCs w:val="24"/>
                <w:rtl/>
              </w:rPr>
              <w:t>'</w:t>
            </w:r>
            <w:r w:rsidRPr="00CC5A8D">
              <w:rPr>
                <w:rFonts w:hint="cs"/>
                <w:sz w:val="24"/>
                <w:szCs w:val="24"/>
                <w:rtl/>
              </w:rPr>
              <w:t>.</w:t>
            </w:r>
          </w:p>
        </w:tc>
      </w:tr>
    </w:tbl>
    <w:p w:rsidR="001C7C39" w:rsidRPr="00E671C1" w:rsidRDefault="001C7C39" w:rsidP="00681B55">
      <w:pPr>
        <w:pStyle w:val="4"/>
        <w:rPr>
          <w:rtl/>
        </w:rPr>
      </w:pPr>
      <w:r w:rsidRPr="00E671C1">
        <w:rPr>
          <w:rtl/>
        </w:rPr>
        <w:t>לוח</w:t>
      </w:r>
      <w:r w:rsidR="00E671C1" w:rsidRPr="00E671C1">
        <w:t xml:space="preserve"> </w:t>
      </w:r>
      <w:r w:rsidR="008C04A7" w:rsidRPr="00E671C1">
        <w:rPr>
          <w:rFonts w:hint="cs"/>
          <w:rtl/>
        </w:rPr>
        <w:t>8</w:t>
      </w:r>
      <w:r w:rsidRPr="00E671C1">
        <w:rPr>
          <w:rtl/>
        </w:rPr>
        <w:t xml:space="preserve">: </w:t>
      </w:r>
      <w:r w:rsidR="00800CCD" w:rsidRPr="00E671C1">
        <w:rPr>
          <w:rFonts w:hint="cs"/>
          <w:rtl/>
        </w:rPr>
        <w:t>בנק ישראל</w:t>
      </w:r>
    </w:p>
    <w:p w:rsidR="001C7C39" w:rsidRPr="00E671C1" w:rsidRDefault="00E5578B" w:rsidP="00A301BF">
      <w:pPr>
        <w:ind w:right="-142"/>
        <w:jc w:val="both"/>
        <w:rPr>
          <w:rFonts w:ascii="Arial" w:hAnsi="Arial" w:cs="David"/>
          <w:szCs w:val="24"/>
          <w:rtl/>
        </w:rPr>
      </w:pPr>
      <w:r w:rsidRPr="00E671C1">
        <w:rPr>
          <w:rFonts w:ascii="Arial" w:hAnsi="Arial" w:cs="David" w:hint="cs"/>
          <w:szCs w:val="24"/>
          <w:rtl/>
        </w:rPr>
        <w:t xml:space="preserve">הנתונים </w:t>
      </w:r>
      <w:r w:rsidR="00A301BF" w:rsidRPr="00E671C1">
        <w:rPr>
          <w:rFonts w:ascii="Arial" w:hAnsi="Arial" w:cs="David" w:hint="cs"/>
          <w:szCs w:val="24"/>
          <w:rtl/>
        </w:rPr>
        <w:t>מתייחסים ל</w:t>
      </w:r>
      <w:r w:rsidR="001C7C39" w:rsidRPr="00E671C1">
        <w:rPr>
          <w:rFonts w:ascii="Arial" w:hAnsi="Arial" w:cs="David"/>
          <w:szCs w:val="24"/>
          <w:rtl/>
        </w:rPr>
        <w:t>בנקים שהונם העצמי גבוה מ-200 מ</w:t>
      </w:r>
      <w:r w:rsidR="008D5AF6" w:rsidRPr="00E671C1">
        <w:rPr>
          <w:rFonts w:ascii="Arial" w:hAnsi="Arial" w:cs="David" w:hint="cs"/>
          <w:szCs w:val="24"/>
          <w:rtl/>
        </w:rPr>
        <w:t>י</w:t>
      </w:r>
      <w:r w:rsidR="001C7C39" w:rsidRPr="00E671C1">
        <w:rPr>
          <w:rFonts w:ascii="Arial" w:hAnsi="Arial" w:cs="David"/>
          <w:szCs w:val="24"/>
          <w:rtl/>
        </w:rPr>
        <w:t>ליוני</w:t>
      </w:r>
      <w:r w:rsidR="007E1732" w:rsidRPr="00E671C1">
        <w:rPr>
          <w:rFonts w:ascii="Arial" w:hAnsi="Arial" w:cs="David"/>
          <w:szCs w:val="24"/>
          <w:rtl/>
        </w:rPr>
        <w:t xml:space="preserve"> שקלים ומספר סניפיהם גדול מ-10</w:t>
      </w:r>
      <w:r w:rsidR="007E1732" w:rsidRPr="00E671C1">
        <w:rPr>
          <w:rFonts w:ascii="Arial" w:hAnsi="Arial" w:cs="David" w:hint="cs"/>
          <w:szCs w:val="24"/>
          <w:rtl/>
        </w:rPr>
        <w:t xml:space="preserve"> (לא כולל את הסניפים של בנק החקלאות ושל לאומי חברה למימון).</w:t>
      </w:r>
    </w:p>
    <w:p w:rsidR="00681B55" w:rsidRDefault="00F868D2" w:rsidP="00835A64">
      <w:pPr>
        <w:ind w:right="-142"/>
        <w:jc w:val="both"/>
        <w:rPr>
          <w:rFonts w:ascii="Arial" w:hAnsi="Arial" w:cs="David"/>
          <w:spacing w:val="2"/>
          <w:szCs w:val="24"/>
          <w:rtl/>
        </w:rPr>
      </w:pPr>
      <w:r w:rsidRPr="00E671C1">
        <w:rPr>
          <w:rFonts w:ascii="Arial" w:hAnsi="Arial" w:cs="David" w:hint="cs"/>
          <w:szCs w:val="24"/>
          <w:rtl/>
        </w:rPr>
        <w:t>(הנתונים לקוחים מאתר האינטרנט של בנק ישראל ומבוססים על דיווח חצי שנתי למפקח על הבנקים).</w:t>
      </w:r>
      <w:r w:rsidR="008D289C" w:rsidRPr="00E671C1">
        <w:rPr>
          <w:rFonts w:ascii="Arial" w:hAnsi="Arial" w:cs="David" w:hint="cs"/>
          <w:spacing w:val="2"/>
          <w:szCs w:val="24"/>
          <w:rtl/>
        </w:rPr>
        <w:t xml:space="preserve"> </w:t>
      </w:r>
      <w:r w:rsidR="00322868" w:rsidRPr="00E671C1">
        <w:rPr>
          <w:rFonts w:ascii="Arial" w:hAnsi="Arial" w:cs="David" w:hint="cs"/>
          <w:spacing w:val="2"/>
          <w:szCs w:val="24"/>
          <w:rtl/>
        </w:rPr>
        <w:t xml:space="preserve">בשל שינוי </w:t>
      </w:r>
      <w:r w:rsidR="00F5552A" w:rsidRPr="00E671C1">
        <w:rPr>
          <w:rFonts w:ascii="Arial" w:hAnsi="Arial" w:cs="David" w:hint="cs"/>
          <w:spacing w:val="2"/>
          <w:szCs w:val="24"/>
          <w:rtl/>
        </w:rPr>
        <w:t>ב</w:t>
      </w:r>
      <w:r w:rsidR="00322868" w:rsidRPr="00E671C1">
        <w:rPr>
          <w:rFonts w:ascii="Arial" w:hAnsi="Arial" w:cs="David" w:hint="cs"/>
          <w:spacing w:val="2"/>
          <w:szCs w:val="24"/>
          <w:rtl/>
        </w:rPr>
        <w:t xml:space="preserve">הוראות הדיווח של הבנקים, </w:t>
      </w:r>
      <w:r w:rsidR="0041162E">
        <w:rPr>
          <w:rFonts w:ascii="Arial" w:hAnsi="Arial" w:cs="David" w:hint="cs"/>
          <w:spacing w:val="2"/>
          <w:szCs w:val="24"/>
          <w:rtl/>
        </w:rPr>
        <w:t xml:space="preserve">החל משנת 2016 </w:t>
      </w:r>
      <w:r w:rsidR="00E671C1" w:rsidRPr="00E671C1">
        <w:rPr>
          <w:rFonts w:ascii="Arial" w:hAnsi="Arial" w:cs="David" w:hint="cs"/>
          <w:spacing w:val="2"/>
          <w:szCs w:val="24"/>
          <w:rtl/>
        </w:rPr>
        <w:t xml:space="preserve">נכללים </w:t>
      </w:r>
      <w:r w:rsidR="006A3407">
        <w:rPr>
          <w:rFonts w:ascii="Arial" w:hAnsi="Arial" w:cs="David" w:hint="cs"/>
          <w:spacing w:val="2"/>
          <w:szCs w:val="24"/>
          <w:rtl/>
        </w:rPr>
        <w:t xml:space="preserve">רק </w:t>
      </w:r>
      <w:r w:rsidR="00E671C1" w:rsidRPr="00E671C1">
        <w:rPr>
          <w:rFonts w:ascii="Arial" w:hAnsi="Arial" w:cs="David" w:hint="cs"/>
          <w:spacing w:val="2"/>
          <w:szCs w:val="24"/>
          <w:rtl/>
        </w:rPr>
        <w:t>שטחי הסניפים המשרתים לקוחות</w:t>
      </w:r>
      <w:r w:rsidR="006A3407">
        <w:rPr>
          <w:rFonts w:ascii="Arial" w:hAnsi="Arial" w:cs="David" w:hint="cs"/>
          <w:spacing w:val="2"/>
          <w:szCs w:val="24"/>
          <w:rtl/>
        </w:rPr>
        <w:t xml:space="preserve">, ולא כל </w:t>
      </w:r>
      <w:r w:rsidR="00835A64">
        <w:rPr>
          <w:rFonts w:ascii="Arial" w:hAnsi="Arial" w:cs="David" w:hint="cs"/>
          <w:spacing w:val="2"/>
          <w:szCs w:val="24"/>
          <w:rtl/>
        </w:rPr>
        <w:t>סניפי הבנקים,</w:t>
      </w:r>
      <w:r w:rsidR="006A3407">
        <w:rPr>
          <w:rFonts w:ascii="Arial" w:hAnsi="Arial" w:cs="David" w:hint="cs"/>
          <w:spacing w:val="2"/>
          <w:szCs w:val="24"/>
          <w:rtl/>
        </w:rPr>
        <w:t xml:space="preserve"> כפי שהיה בעבר</w:t>
      </w:r>
      <w:r w:rsidR="00E671C1" w:rsidRPr="00E671C1">
        <w:rPr>
          <w:rFonts w:ascii="Arial" w:hAnsi="Arial" w:cs="David" w:hint="cs"/>
          <w:spacing w:val="2"/>
          <w:szCs w:val="24"/>
          <w:rtl/>
        </w:rPr>
        <w:t xml:space="preserve">. לפיכך לא מוצגים נתוני שנים קודמות. </w:t>
      </w:r>
      <w:r w:rsidR="00322868" w:rsidRPr="00E671C1">
        <w:rPr>
          <w:rFonts w:ascii="Arial" w:hAnsi="Arial" w:cs="David" w:hint="cs"/>
          <w:spacing w:val="2"/>
          <w:szCs w:val="24"/>
          <w:rtl/>
        </w:rPr>
        <w:t xml:space="preserve"> </w:t>
      </w:r>
    </w:p>
    <w:p w:rsidR="001C7C39" w:rsidRDefault="001C7C39" w:rsidP="0041162E">
      <w:pPr>
        <w:pStyle w:val="4"/>
        <w:rPr>
          <w:rtl/>
        </w:rPr>
      </w:pPr>
      <w:r w:rsidRPr="008D289C">
        <w:rPr>
          <w:rtl/>
        </w:rPr>
        <w:t xml:space="preserve">לוחות </w:t>
      </w:r>
      <w:r w:rsidR="00C7163C" w:rsidRPr="008D289C">
        <w:rPr>
          <w:rFonts w:hint="cs"/>
          <w:rtl/>
        </w:rPr>
        <w:t>1</w:t>
      </w:r>
      <w:r w:rsidR="00E671C1">
        <w:rPr>
          <w:rFonts w:hint="cs"/>
          <w:rtl/>
        </w:rPr>
        <w:t>2</w:t>
      </w:r>
      <w:r w:rsidR="002B2F5A" w:rsidRPr="008D289C">
        <w:rPr>
          <w:rFonts w:hint="cs"/>
          <w:rtl/>
        </w:rPr>
        <w:t>-</w:t>
      </w:r>
      <w:r w:rsidR="00E671C1">
        <w:rPr>
          <w:rFonts w:hint="cs"/>
          <w:rtl/>
        </w:rPr>
        <w:t>9</w:t>
      </w:r>
      <w:r w:rsidRPr="008D289C">
        <w:rPr>
          <w:rtl/>
        </w:rPr>
        <w:t>: הבורסה לניירות ערך, ת"א</w:t>
      </w:r>
      <w:r w:rsidR="00FB19C3" w:rsidRPr="008D289C">
        <w:rPr>
          <w:rFonts w:hint="cs"/>
          <w:rtl/>
        </w:rPr>
        <w:t xml:space="preserve">, סקירה שנתית </w:t>
      </w:r>
      <w:r w:rsidR="006C19CC" w:rsidRPr="008D289C">
        <w:rPr>
          <w:rFonts w:hint="cs"/>
          <w:rtl/>
        </w:rPr>
        <w:t>201</w:t>
      </w:r>
      <w:r w:rsidR="0041162E">
        <w:rPr>
          <w:rFonts w:hint="cs"/>
          <w:rtl/>
        </w:rPr>
        <w:t>7</w:t>
      </w:r>
    </w:p>
    <w:tbl>
      <w:tblPr>
        <w:bidiVisual/>
        <w:tblW w:w="8730" w:type="dxa"/>
        <w:tblInd w:w="108" w:type="dxa"/>
        <w:tblLayout w:type="fixed"/>
        <w:tblCellMar>
          <w:top w:w="142" w:type="dxa"/>
        </w:tblCellMar>
        <w:tblLook w:val="01E0" w:firstRow="1" w:lastRow="1" w:firstColumn="1" w:lastColumn="1" w:noHBand="0" w:noVBand="0"/>
        <w:tblCaption w:val="לוחות 12-9: הבורסה לניירות ערך, ת&quot;א, סקירה שנתית 2016"/>
      </w:tblPr>
      <w:tblGrid>
        <w:gridCol w:w="2209"/>
        <w:gridCol w:w="6521"/>
      </w:tblGrid>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מניות</w:t>
            </w:r>
          </w:p>
        </w:tc>
        <w:tc>
          <w:tcPr>
            <w:tcW w:w="6521" w:type="dxa"/>
          </w:tcPr>
          <w:p w:rsidR="00681B55" w:rsidRPr="00681B55" w:rsidRDefault="00681B55" w:rsidP="00CC5A8D">
            <w:pPr>
              <w:pStyle w:val="af0"/>
              <w:numPr>
                <w:ilvl w:val="0"/>
                <w:numId w:val="12"/>
              </w:numPr>
              <w:ind w:left="142" w:hanging="142"/>
              <w:jc w:val="both"/>
              <w:rPr>
                <w:sz w:val="24"/>
                <w:szCs w:val="24"/>
                <w:rtl/>
              </w:rPr>
            </w:pPr>
            <w:r w:rsidRPr="00CC5A8D">
              <w:rPr>
                <w:rFonts w:hint="cs"/>
                <w:sz w:val="24"/>
                <w:szCs w:val="24"/>
                <w:rtl/>
              </w:rPr>
              <w:t>סוג של נייר ערך המהווה שטר בעלות על חלק מחברה ומקנה למחזיק בה מעמד של שותף בחברה.</w:t>
            </w:r>
          </w:p>
          <w:p w:rsidR="00681B55" w:rsidRPr="008D289C" w:rsidRDefault="00681B55" w:rsidP="00CC5A8D">
            <w:pPr>
              <w:spacing w:line="160" w:lineRule="exact"/>
              <w:ind w:left="142" w:hanging="142"/>
              <w:jc w:val="both"/>
              <w:rPr>
                <w:rFonts w:ascii="Arial" w:hAnsi="Arial" w:cs="David"/>
                <w:sz w:val="24"/>
                <w:szCs w:val="24"/>
                <w:rtl/>
              </w:rPr>
            </w:pP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 xml:space="preserve">ניירות ערך </w:t>
            </w:r>
            <w:proofErr w:type="spellStart"/>
            <w:r w:rsidRPr="00200C35">
              <w:rPr>
                <w:rFonts w:ascii="Arial" w:hAnsi="Arial" w:cs="David" w:hint="cs"/>
                <w:b/>
                <w:bCs/>
                <w:spacing w:val="4"/>
                <w:sz w:val="24"/>
                <w:szCs w:val="24"/>
                <w:rtl/>
              </w:rPr>
              <w:t>המירים</w:t>
            </w:r>
            <w:proofErr w:type="spellEnd"/>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sz w:val="24"/>
                <w:szCs w:val="24"/>
              </w:rPr>
              <w:t>"</w:t>
            </w:r>
            <w:r w:rsidRPr="00CC5A8D">
              <w:rPr>
                <w:sz w:val="24"/>
                <w:szCs w:val="24"/>
                <w:rtl/>
              </w:rPr>
              <w:t>מוצרים" הניתנים להמרה לניירות ערך אחרים. בבורסה נסחרים מספר סוגים של ניירות ערך</w:t>
            </w:r>
            <w:r w:rsidRPr="00CC5A8D">
              <w:rPr>
                <w:sz w:val="24"/>
                <w:szCs w:val="24"/>
              </w:rPr>
              <w:t xml:space="preserve"> </w:t>
            </w:r>
            <w:proofErr w:type="spellStart"/>
            <w:r w:rsidRPr="00CC5A8D">
              <w:rPr>
                <w:sz w:val="24"/>
                <w:szCs w:val="24"/>
                <w:rtl/>
              </w:rPr>
              <w:t>המירים</w:t>
            </w:r>
            <w:proofErr w:type="spellEnd"/>
            <w:r w:rsidRPr="00CC5A8D">
              <w:rPr>
                <w:sz w:val="24"/>
                <w:szCs w:val="24"/>
                <w:rtl/>
              </w:rPr>
              <w:t>, ובהם כתבי אופציה ואיגרות חוב להמרה</w:t>
            </w:r>
            <w:r w:rsidRPr="00CC5A8D">
              <w:rPr>
                <w:rFonts w:hint="cs"/>
                <w:sz w:val="24"/>
                <w:szCs w:val="24"/>
                <w:rtl/>
              </w:rPr>
              <w:t>.</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lastRenderedPageBreak/>
              <w:t>איגרות חוב (אג"ח)</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סוג של הלוואה או שטר חוב. החברה המנפיקה אג"ח לווה מקוני שטר החוב כסף (קרן ההלוואה), ומתחייבת להחזירו בתוספת ריבית והצמדה. בבורסה בתל-אביב נסחרות איגרות חוב ממשלתיות ואיגרות חוב </w:t>
            </w:r>
            <w:proofErr w:type="spellStart"/>
            <w:r w:rsidRPr="00CC5A8D">
              <w:rPr>
                <w:rFonts w:hint="cs"/>
                <w:sz w:val="24"/>
                <w:szCs w:val="24"/>
                <w:rtl/>
              </w:rPr>
              <w:t>קונצרניות</w:t>
            </w:r>
            <w:proofErr w:type="spellEnd"/>
            <w:r w:rsidRPr="00CC5A8D">
              <w:rPr>
                <w:rFonts w:hint="cs"/>
                <w:sz w:val="24"/>
                <w:szCs w:val="24"/>
                <w:rtl/>
              </w:rPr>
              <w:t xml:space="preserve">/תאגידיות (הונפקו ע"י חברות). </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איגרות חוב ממשלתיות</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משמשות את </w:t>
            </w:r>
            <w:hyperlink r:id="rId9" w:tgtFrame="Custom" w:history="1">
              <w:r w:rsidRPr="00CC5A8D">
                <w:rPr>
                  <w:sz w:val="24"/>
                  <w:szCs w:val="24"/>
                  <w:rtl/>
                </w:rPr>
                <w:t>ממשלת ישראל</w:t>
              </w:r>
            </w:hyperlink>
            <w:r w:rsidRPr="00CC5A8D">
              <w:rPr>
                <w:rFonts w:hint="cs"/>
                <w:sz w:val="24"/>
                <w:szCs w:val="24"/>
                <w:rtl/>
              </w:rPr>
              <w:t xml:space="preserve"> לשם גיוס כספים מהציבור הרחב, </w:t>
            </w:r>
            <w:proofErr w:type="spellStart"/>
            <w:r w:rsidRPr="00CC5A8D">
              <w:rPr>
                <w:rFonts w:hint="cs"/>
                <w:sz w:val="24"/>
                <w:szCs w:val="24"/>
                <w:rtl/>
              </w:rPr>
              <w:t>ומיחזור</w:t>
            </w:r>
            <w:proofErr w:type="spellEnd"/>
            <w:r w:rsidRPr="00CC5A8D">
              <w:rPr>
                <w:rFonts w:hint="cs"/>
                <w:sz w:val="24"/>
                <w:szCs w:val="24"/>
                <w:rtl/>
              </w:rPr>
              <w:t xml:space="preserve"> אג"ח ותיקות המגיעות לפדיון, זאת, לצורך מימון תוספות לתקציב הממשלתי מעבר להכנסותיה ממיסים, בדומה לממשלות ברחבי העולם.</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proofErr w:type="spellStart"/>
            <w:r w:rsidRPr="00200C35">
              <w:rPr>
                <w:rFonts w:ascii="Arial" w:hAnsi="Arial" w:cs="David" w:hint="cs"/>
                <w:b/>
                <w:bCs/>
                <w:spacing w:val="4"/>
                <w:sz w:val="24"/>
                <w:szCs w:val="24"/>
                <w:rtl/>
              </w:rPr>
              <w:t>מילווה</w:t>
            </w:r>
            <w:proofErr w:type="spellEnd"/>
            <w:r w:rsidRPr="00200C35">
              <w:rPr>
                <w:rFonts w:ascii="Arial" w:hAnsi="Arial" w:cs="David" w:hint="cs"/>
                <w:b/>
                <w:bCs/>
                <w:spacing w:val="4"/>
                <w:sz w:val="24"/>
                <w:szCs w:val="24"/>
                <w:rtl/>
              </w:rPr>
              <w:t xml:space="preserve"> קצר מועד (מק"מ)</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סוג של </w:t>
            </w:r>
            <w:hyperlink r:id="rId10" w:tooltip="אג&quot;ח בקליק" w:history="1">
              <w:r w:rsidRPr="00CC5A8D">
                <w:rPr>
                  <w:sz w:val="24"/>
                  <w:szCs w:val="24"/>
                  <w:rtl/>
                </w:rPr>
                <w:t>איגרת חוב</w:t>
              </w:r>
            </w:hyperlink>
            <w:r w:rsidRPr="00CC5A8D">
              <w:rPr>
                <w:rFonts w:hint="cs"/>
                <w:sz w:val="24"/>
                <w:szCs w:val="24"/>
                <w:rtl/>
              </w:rPr>
              <w:t xml:space="preserve"> ממשלתית קצרת מועד, המונפקת לתקופה של שנה לכל היותר, ומקביל לפיקדון קצר טווח בבנקים. המק"מ מונפק על ידי </w:t>
            </w:r>
            <w:hyperlink r:id="rId11" w:tgtFrame="Custom" w:history="1">
              <w:r w:rsidRPr="00CC5A8D">
                <w:rPr>
                  <w:sz w:val="24"/>
                  <w:szCs w:val="24"/>
                  <w:rtl/>
                </w:rPr>
                <w:t>בנק ישראל</w:t>
              </w:r>
            </w:hyperlink>
            <w:r w:rsidRPr="00CC5A8D">
              <w:rPr>
                <w:rFonts w:hint="cs"/>
                <w:sz w:val="24"/>
                <w:szCs w:val="24"/>
                <w:rtl/>
              </w:rPr>
              <w:t> כאמצעי לספיגת כספים מהציבור ולוויסות הפעילות הכלכלית במשק.</w:t>
            </w:r>
          </w:p>
        </w:tc>
      </w:tr>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מוצרי מדדים ("מכשירי אינדקס")</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מכשירים פיננסיים, העוקבים אחר מדדי מניות, ואשר מאפשרים למשקיעים לרכוש "סל" סחיר של המניות הכלולות במדדים, וכך "להיצמד" לביצועי המדדים בקלות ובעלות נמוכה. ביניהם ניתן למצוא מוצרים כגון: תעודות סל, תעודות מורכבות, תעודות סחורה, אופציות כיסוי ותעודות בחסר. </w:t>
            </w:r>
          </w:p>
        </w:tc>
      </w:tr>
    </w:tbl>
    <w:p w:rsidR="00141783" w:rsidRPr="008D289C" w:rsidRDefault="00141783" w:rsidP="00F942DE">
      <w:pPr>
        <w:pStyle w:val="4"/>
        <w:spacing w:before="300"/>
        <w:rPr>
          <w:rtl/>
        </w:rPr>
      </w:pPr>
      <w:r w:rsidRPr="008D289C">
        <w:rPr>
          <w:rtl/>
        </w:rPr>
        <w:t xml:space="preserve">לוחות </w:t>
      </w:r>
      <w:r w:rsidR="00C7163C" w:rsidRPr="008D289C">
        <w:rPr>
          <w:rFonts w:hint="cs"/>
          <w:rtl/>
        </w:rPr>
        <w:t>1</w:t>
      </w:r>
      <w:r w:rsidR="00F942DE">
        <w:rPr>
          <w:rFonts w:hint="cs"/>
          <w:rtl/>
        </w:rPr>
        <w:t>4</w:t>
      </w:r>
      <w:bookmarkStart w:id="0" w:name="_GoBack"/>
      <w:bookmarkEnd w:id="0"/>
      <w:r w:rsidRPr="008D289C">
        <w:rPr>
          <w:rtl/>
        </w:rPr>
        <w:t>-</w:t>
      </w:r>
      <w:r w:rsidR="00C7163C" w:rsidRPr="008D289C">
        <w:rPr>
          <w:rFonts w:hint="cs"/>
          <w:rtl/>
        </w:rPr>
        <w:t>1</w:t>
      </w:r>
      <w:r w:rsidR="00E671C1">
        <w:rPr>
          <w:rFonts w:hint="cs"/>
          <w:rtl/>
        </w:rPr>
        <w:t>3</w:t>
      </w:r>
      <w:r w:rsidRPr="008D289C">
        <w:rPr>
          <w:rFonts w:hint="cs"/>
          <w:rtl/>
        </w:rPr>
        <w:t>:</w:t>
      </w:r>
      <w:r w:rsidRPr="008D289C">
        <w:rPr>
          <w:rtl/>
        </w:rPr>
        <w:t xml:space="preserve"> </w:t>
      </w:r>
      <w:proofErr w:type="spellStart"/>
      <w:r w:rsidRPr="008D289C">
        <w:rPr>
          <w:rtl/>
        </w:rPr>
        <w:t>הלמ"ס</w:t>
      </w:r>
      <w:proofErr w:type="spellEnd"/>
      <w:r w:rsidRPr="008D289C">
        <w:rPr>
          <w:rtl/>
        </w:rPr>
        <w:t xml:space="preserve">, סקר </w:t>
      </w:r>
      <w:r w:rsidR="009A70BA" w:rsidRPr="008D289C">
        <w:rPr>
          <w:rtl/>
        </w:rPr>
        <w:t>התעשייה</w:t>
      </w:r>
    </w:p>
    <w:p w:rsidR="00141783" w:rsidRPr="008D289C" w:rsidRDefault="008746FE" w:rsidP="00CC5A8D">
      <w:pPr>
        <w:spacing w:before="60"/>
        <w:jc w:val="both"/>
        <w:rPr>
          <w:rFonts w:ascii="Arial" w:hAnsi="Arial" w:cs="David"/>
          <w:b/>
          <w:bCs/>
          <w:sz w:val="22"/>
          <w:szCs w:val="24"/>
          <w:rtl/>
        </w:rPr>
      </w:pPr>
      <w:r w:rsidRPr="008D289C">
        <w:rPr>
          <w:rFonts w:ascii="Arial" w:hAnsi="Arial" w:cs="David"/>
          <w:sz w:val="22"/>
          <w:szCs w:val="24"/>
          <w:rtl/>
        </w:rPr>
        <w:t>מקור הנתונים ה</w:t>
      </w:r>
      <w:r w:rsidR="0065651C" w:rsidRPr="008D289C">
        <w:rPr>
          <w:rFonts w:ascii="Arial" w:hAnsi="Arial" w:cs="David" w:hint="cs"/>
          <w:sz w:val="22"/>
          <w:szCs w:val="24"/>
          <w:rtl/>
        </w:rPr>
        <w:t xml:space="preserve">וא </w:t>
      </w:r>
      <w:r w:rsidRPr="008D289C">
        <w:rPr>
          <w:rFonts w:ascii="Arial" w:hAnsi="Arial" w:cs="David"/>
          <w:sz w:val="22"/>
          <w:szCs w:val="24"/>
          <w:rtl/>
        </w:rPr>
        <w:t>סקר</w:t>
      </w:r>
      <w:r w:rsidRPr="008D289C">
        <w:rPr>
          <w:rFonts w:ascii="Arial" w:hAnsi="Arial" w:cs="David" w:hint="cs"/>
          <w:sz w:val="22"/>
          <w:szCs w:val="24"/>
          <w:rtl/>
        </w:rPr>
        <w:t xml:space="preserve"> שנתי של תעשייה, כרייה וחציבה </w:t>
      </w:r>
      <w:r w:rsidRPr="008D289C">
        <w:rPr>
          <w:rFonts w:ascii="Arial" w:hAnsi="Arial" w:cs="David"/>
          <w:sz w:val="22"/>
          <w:szCs w:val="24"/>
          <w:rtl/>
        </w:rPr>
        <w:t xml:space="preserve">של </w:t>
      </w:r>
      <w:proofErr w:type="spellStart"/>
      <w:r w:rsidRPr="008D289C">
        <w:rPr>
          <w:rFonts w:ascii="Arial" w:hAnsi="Arial" w:cs="David"/>
          <w:sz w:val="22"/>
          <w:szCs w:val="24"/>
          <w:rtl/>
        </w:rPr>
        <w:t>הלמ"ס</w:t>
      </w:r>
      <w:proofErr w:type="spellEnd"/>
      <w:r w:rsidRPr="008D289C">
        <w:rPr>
          <w:rFonts w:ascii="Arial" w:hAnsi="Arial" w:cs="David"/>
          <w:sz w:val="22"/>
          <w:szCs w:val="24"/>
          <w:rtl/>
        </w:rPr>
        <w:t>.</w:t>
      </w:r>
      <w:r w:rsidRPr="008D289C">
        <w:rPr>
          <w:rFonts w:ascii="Arial" w:hAnsi="Arial" w:cs="David" w:hint="cs"/>
          <w:sz w:val="22"/>
          <w:szCs w:val="24"/>
          <w:rtl/>
        </w:rPr>
        <w:t xml:space="preserve"> הנתונים בלוחות הינם על פי הסיווג הענפי החדש: "הסיווג האחיד של ענפי הכלכלה, 2011" (במקום "הסיווג האחיד של ענפי הכלכלה, 1993").</w:t>
      </w:r>
      <w:r w:rsidR="004F7360" w:rsidRPr="008D289C">
        <w:rPr>
          <w:rFonts w:ascii="Arial" w:hAnsi="Arial" w:cs="David" w:hint="cs"/>
          <w:sz w:val="22"/>
          <w:szCs w:val="24"/>
          <w:rtl/>
        </w:rPr>
        <w:t xml:space="preserve"> </w:t>
      </w:r>
      <w:r w:rsidR="00A301BF" w:rsidRPr="008D289C">
        <w:rPr>
          <w:rFonts w:ascii="Arial" w:hAnsi="Arial" w:cs="David" w:hint="cs"/>
          <w:b/>
          <w:bCs/>
          <w:sz w:val="22"/>
          <w:szCs w:val="24"/>
          <w:rtl/>
        </w:rPr>
        <w:t>אפשרות</w:t>
      </w:r>
      <w:r w:rsidRPr="008D289C">
        <w:rPr>
          <w:rFonts w:ascii="Arial" w:hAnsi="Arial" w:cs="David" w:hint="cs"/>
          <w:b/>
          <w:bCs/>
          <w:sz w:val="22"/>
          <w:szCs w:val="24"/>
          <w:rtl/>
        </w:rPr>
        <w:t xml:space="preserve"> ההשוואה לסקרים שנערכו בשנים קודמות היא מוגבלת, ולפיכך נתוני שנים קודמות אינם מוצגים בפרק. </w:t>
      </w:r>
      <w:r w:rsidR="008D289C">
        <w:rPr>
          <w:rFonts w:ascii="Arial" w:hAnsi="Arial" w:cs="David" w:hint="cs"/>
          <w:b/>
          <w:bCs/>
          <w:sz w:val="22"/>
          <w:szCs w:val="24"/>
          <w:rtl/>
        </w:rPr>
        <w:t xml:space="preserve">כמו כן, בשנת 2014 בוצע עדכון למיקומי מפעלי התעשייה שנדגמו בסקר. לפיכך, לא ניתן להשוות את נתוני התעשייה לשנת 2014 עם נתוני שנים קודמות. </w:t>
      </w:r>
    </w:p>
    <w:p w:rsidR="00CF4E99" w:rsidRPr="008D289C" w:rsidRDefault="00141783" w:rsidP="00200C35">
      <w:pPr>
        <w:pStyle w:val="10"/>
        <w:ind w:left="0" w:right="0" w:firstLine="0"/>
        <w:rPr>
          <w:rFonts w:ascii="Arial" w:hAnsi="Arial"/>
          <w:rtl/>
        </w:rPr>
      </w:pPr>
      <w:r w:rsidRPr="008D289C">
        <w:rPr>
          <w:rFonts w:ascii="Arial" w:hAnsi="Arial"/>
          <w:b/>
          <w:bCs/>
          <w:rtl/>
        </w:rPr>
        <w:t xml:space="preserve">אוכלוסיית הסקר </w:t>
      </w:r>
      <w:r w:rsidR="00CF4E99" w:rsidRPr="008D289C">
        <w:rPr>
          <w:rFonts w:ascii="Arial" w:hAnsi="Arial" w:hint="cs"/>
          <w:rtl/>
        </w:rPr>
        <w:t>- מפ</w:t>
      </w:r>
      <w:r w:rsidR="009D0963" w:rsidRPr="008D289C">
        <w:rPr>
          <w:rFonts w:ascii="Arial" w:hAnsi="Arial" w:hint="cs"/>
          <w:rtl/>
        </w:rPr>
        <w:t>עלי תעשייה עם משרת שכיר אחת לפחות</w:t>
      </w:r>
      <w:r w:rsidR="00560664" w:rsidRPr="008D289C">
        <w:rPr>
          <w:rFonts w:ascii="Arial" w:hAnsi="Arial" w:hint="cs"/>
          <w:rtl/>
        </w:rPr>
        <w:t>, כולל משרות של לא-שכירים. האוכלוסייה אינה כוללת את ענף היהלומים</w:t>
      </w:r>
      <w:r w:rsidR="00AE213B" w:rsidRPr="008D289C">
        <w:rPr>
          <w:rFonts w:ascii="Arial" w:hAnsi="Arial" w:hint="cs"/>
          <w:rtl/>
        </w:rPr>
        <w:t xml:space="preserve"> ומוסדות הפועלים ללא כוונת רווח</w:t>
      </w:r>
      <w:r w:rsidR="00560664" w:rsidRPr="008D289C">
        <w:rPr>
          <w:rFonts w:ascii="Arial" w:hAnsi="Arial" w:hint="cs"/>
          <w:rtl/>
        </w:rPr>
        <w:t xml:space="preserve">. הסיווג לפי ענפים מתבסס על עפ"י "הסיווג האחיד של ענפי הכלכלה, </w:t>
      </w:r>
      <w:r w:rsidR="008746FE" w:rsidRPr="008D289C">
        <w:rPr>
          <w:rFonts w:ascii="Arial" w:hAnsi="Arial" w:hint="cs"/>
          <w:rtl/>
        </w:rPr>
        <w:t>2011</w:t>
      </w:r>
      <w:r w:rsidR="00560664" w:rsidRPr="008D289C">
        <w:rPr>
          <w:rFonts w:ascii="Arial" w:hAnsi="Arial" w:hint="cs"/>
          <w:rtl/>
        </w:rPr>
        <w:t xml:space="preserve">". </w:t>
      </w:r>
    </w:p>
    <w:p w:rsidR="00E55150" w:rsidRPr="008D289C" w:rsidRDefault="00141783" w:rsidP="00200C35">
      <w:pPr>
        <w:pStyle w:val="af"/>
        <w:spacing w:line="240" w:lineRule="auto"/>
        <w:ind w:left="-1" w:right="0"/>
        <w:rPr>
          <w:rFonts w:ascii="Arial" w:hAnsi="Arial"/>
          <w:rtl/>
        </w:rPr>
      </w:pPr>
      <w:r w:rsidRPr="008D289C">
        <w:rPr>
          <w:rFonts w:ascii="Arial" w:hAnsi="Arial"/>
          <w:b/>
          <w:bCs/>
          <w:sz w:val="24"/>
          <w:rtl/>
        </w:rPr>
        <w:t>מסגרת ה</w:t>
      </w:r>
      <w:r w:rsidRPr="008D289C">
        <w:rPr>
          <w:rFonts w:ascii="Arial" w:hAnsi="Arial" w:hint="cs"/>
          <w:b/>
          <w:bCs/>
          <w:sz w:val="24"/>
          <w:rtl/>
        </w:rPr>
        <w:t>ד</w:t>
      </w:r>
      <w:r w:rsidRPr="008D289C">
        <w:rPr>
          <w:rFonts w:ascii="Arial" w:hAnsi="Arial"/>
          <w:b/>
          <w:bCs/>
          <w:sz w:val="24"/>
          <w:rtl/>
        </w:rPr>
        <w:t>ג</w:t>
      </w:r>
      <w:r w:rsidRPr="008D289C">
        <w:rPr>
          <w:rFonts w:ascii="Arial" w:hAnsi="Arial" w:hint="cs"/>
          <w:b/>
          <w:bCs/>
          <w:sz w:val="24"/>
          <w:rtl/>
        </w:rPr>
        <w:t>ימה והמדגם</w:t>
      </w:r>
      <w:r w:rsidRPr="008D289C">
        <w:rPr>
          <w:rFonts w:ascii="Arial" w:hAnsi="Arial"/>
          <w:sz w:val="24"/>
          <w:rtl/>
        </w:rPr>
        <w:t xml:space="preserve"> - </w:t>
      </w:r>
      <w:r w:rsidRPr="008D289C">
        <w:rPr>
          <w:rFonts w:ascii="Arial" w:hAnsi="Arial" w:hint="cs"/>
          <w:rtl/>
        </w:rPr>
        <w:t xml:space="preserve">המקור לבניית מסגרת הדגימה היה </w:t>
      </w:r>
      <w:r w:rsidR="00AB66F1" w:rsidRPr="008D289C">
        <w:rPr>
          <w:rFonts w:ascii="Arial" w:hAnsi="Arial" w:hint="cs"/>
          <w:rtl/>
        </w:rPr>
        <w:t xml:space="preserve">מאגר המידע של </w:t>
      </w:r>
      <w:r w:rsidRPr="008D289C">
        <w:rPr>
          <w:rFonts w:ascii="Arial" w:hAnsi="Arial" w:hint="cs"/>
          <w:rtl/>
        </w:rPr>
        <w:t xml:space="preserve">מרשם העסקים שהוקם בלשכה המרכזית לסטטיסטיקה </w:t>
      </w:r>
      <w:r w:rsidR="00517D2F" w:rsidRPr="008D289C">
        <w:rPr>
          <w:rFonts w:ascii="Arial" w:hAnsi="Arial" w:hint="cs"/>
          <w:rtl/>
        </w:rPr>
        <w:t>בשנת 2003</w:t>
      </w:r>
      <w:r w:rsidRPr="008D289C">
        <w:rPr>
          <w:rFonts w:ascii="Arial" w:hAnsi="Arial" w:hint="cs"/>
          <w:rtl/>
        </w:rPr>
        <w:t xml:space="preserve">. המרשם התבסס על איחוד שני מקורות מידע מנהליים: </w:t>
      </w:r>
      <w:r w:rsidR="00AB66F1" w:rsidRPr="008D289C">
        <w:rPr>
          <w:rFonts w:ascii="Arial" w:hAnsi="Arial" w:hint="cs"/>
          <w:rtl/>
        </w:rPr>
        <w:t xml:space="preserve">קובץ </w:t>
      </w:r>
      <w:proofErr w:type="spellStart"/>
      <w:r w:rsidR="00AB66F1" w:rsidRPr="008D289C">
        <w:rPr>
          <w:rFonts w:ascii="Arial" w:hAnsi="Arial" w:hint="cs"/>
          <w:rtl/>
        </w:rPr>
        <w:t>עוסקי</w:t>
      </w:r>
      <w:proofErr w:type="spellEnd"/>
      <w:r w:rsidR="00AB66F1" w:rsidRPr="008D289C">
        <w:rPr>
          <w:rFonts w:ascii="Arial" w:hAnsi="Arial" w:hint="cs"/>
          <w:rtl/>
        </w:rPr>
        <w:t xml:space="preserve"> מע"מ וקובץ מעסיקים של המוסד לביטוח לאומי. </w:t>
      </w:r>
      <w:r w:rsidR="00E43597" w:rsidRPr="008D289C">
        <w:rPr>
          <w:rFonts w:ascii="Arial" w:hAnsi="Arial" w:hint="cs"/>
          <w:rtl/>
        </w:rPr>
        <w:t xml:space="preserve">המדגם כלל מפעלים שבהם משרת שכיר אחת לפחות. עם המעבר לסיווג החדש של ענפי הכלכלה, הוצא בשנת 2011 מדגם חדש. </w:t>
      </w:r>
    </w:p>
    <w:p w:rsidR="00E43597" w:rsidRDefault="00EE35C2" w:rsidP="00200C35">
      <w:pPr>
        <w:pStyle w:val="af"/>
        <w:spacing w:line="240" w:lineRule="auto"/>
        <w:ind w:left="-1" w:right="0"/>
        <w:rPr>
          <w:rFonts w:ascii="Arial" w:hAnsi="Arial"/>
          <w:b/>
          <w:bCs/>
          <w:sz w:val="24"/>
          <w:rtl/>
        </w:rPr>
      </w:pPr>
      <w:r w:rsidRPr="008D289C">
        <w:rPr>
          <w:rFonts w:ascii="Arial" w:hAnsi="Arial" w:hint="cs"/>
          <w:b/>
          <w:bCs/>
          <w:sz w:val="24"/>
          <w:rtl/>
        </w:rPr>
        <w:t xml:space="preserve">הנתונים המוצגים בלוחות כוללים את ענפי התעשייה בלבד (סדר </w:t>
      </w:r>
      <w:r w:rsidRPr="008D289C">
        <w:rPr>
          <w:rFonts w:ascii="Arial" w:hAnsi="Arial"/>
          <w:b/>
          <w:bCs/>
          <w:szCs w:val="20"/>
        </w:rPr>
        <w:t>C</w:t>
      </w:r>
      <w:r w:rsidRPr="008D289C">
        <w:rPr>
          <w:rFonts w:ascii="Arial" w:hAnsi="Arial" w:hint="cs"/>
          <w:b/>
          <w:bCs/>
          <w:sz w:val="24"/>
          <w:rtl/>
        </w:rPr>
        <w:t xml:space="preserve">) ללא ענפי הכרייה והחציבה (סדר </w:t>
      </w:r>
      <w:r w:rsidRPr="008D289C">
        <w:rPr>
          <w:rFonts w:ascii="Arial" w:hAnsi="Arial"/>
          <w:b/>
          <w:bCs/>
          <w:szCs w:val="20"/>
        </w:rPr>
        <w:t>B</w:t>
      </w:r>
      <w:r w:rsidRPr="008D289C">
        <w:rPr>
          <w:rFonts w:ascii="Arial" w:hAnsi="Arial" w:hint="cs"/>
          <w:b/>
          <w:bCs/>
          <w:sz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16-13: הלמ&quot;ס, סקר התעשייה"/>
      </w:tblPr>
      <w:tblGrid>
        <w:gridCol w:w="2209"/>
        <w:gridCol w:w="6521"/>
      </w:tblGrid>
      <w:tr w:rsidR="00681B55" w:rsidRPr="00DA7B30" w:rsidTr="00CC5A8D">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מפעל</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sz w:val="24"/>
                <w:szCs w:val="24"/>
                <w:rtl/>
              </w:rPr>
              <w:t>מוגדר כיחידה כלכלית</w:t>
            </w:r>
            <w:r w:rsidRPr="00CC5A8D">
              <w:rPr>
                <w:rFonts w:hint="cs"/>
                <w:sz w:val="24"/>
                <w:szCs w:val="24"/>
                <w:rtl/>
              </w:rPr>
              <w:t xml:space="preserve"> הנמצאת במקום אחד, מבצעת פעולה תעשייתית אחת ומנהלת חשבונות נפרדים. מחלקה של חברה, שהיא יחידה יצרנית בפני עצמה, נחשבת כמפעל נפרד. </w:t>
            </w:r>
            <w:r w:rsidRPr="00CC5A8D">
              <w:rPr>
                <w:sz w:val="24"/>
                <w:szCs w:val="24"/>
                <w:rtl/>
              </w:rPr>
              <w:t xml:space="preserve"> </w:t>
            </w:r>
          </w:p>
        </w:tc>
      </w:tr>
      <w:tr w:rsidR="00681B55" w:rsidRPr="00DA7B30" w:rsidTr="00CC5A8D">
        <w:trPr>
          <w:trHeight w:val="274"/>
        </w:trPr>
        <w:tc>
          <w:tcPr>
            <w:tcW w:w="2209" w:type="dxa"/>
          </w:tcPr>
          <w:p w:rsidR="00681B55" w:rsidRPr="00200C35" w:rsidRDefault="00681B55" w:rsidP="00200C35">
            <w:pPr>
              <w:spacing w:before="80"/>
              <w:rPr>
                <w:rFonts w:ascii="Arial" w:hAnsi="Arial" w:cs="David"/>
                <w:b/>
                <w:bCs/>
                <w:spacing w:val="4"/>
                <w:sz w:val="24"/>
                <w:szCs w:val="24"/>
                <w:rtl/>
              </w:rPr>
            </w:pPr>
            <w:r w:rsidRPr="00200C35">
              <w:rPr>
                <w:rFonts w:ascii="Arial" w:hAnsi="Arial" w:cs="David" w:hint="cs"/>
                <w:b/>
                <w:bCs/>
                <w:spacing w:val="4"/>
                <w:sz w:val="24"/>
                <w:szCs w:val="24"/>
                <w:rtl/>
              </w:rPr>
              <w:t>משרות</w:t>
            </w:r>
          </w:p>
        </w:tc>
        <w:tc>
          <w:tcPr>
            <w:tcW w:w="6521" w:type="dxa"/>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משרות </w:t>
            </w:r>
            <w:r w:rsidRPr="00CC5A8D">
              <w:rPr>
                <w:sz w:val="24"/>
                <w:szCs w:val="24"/>
                <w:rtl/>
              </w:rPr>
              <w:t xml:space="preserve">שכיר, </w:t>
            </w:r>
            <w:r w:rsidRPr="00CC5A8D">
              <w:rPr>
                <w:rFonts w:hint="cs"/>
                <w:sz w:val="24"/>
                <w:szCs w:val="24"/>
                <w:rtl/>
              </w:rPr>
              <w:t xml:space="preserve">משרות לא-שכיר, </w:t>
            </w:r>
            <w:r w:rsidRPr="00CC5A8D">
              <w:rPr>
                <w:sz w:val="24"/>
                <w:szCs w:val="24"/>
                <w:rtl/>
              </w:rPr>
              <w:t xml:space="preserve">בעלים </w:t>
            </w:r>
            <w:r w:rsidRPr="00CC5A8D">
              <w:rPr>
                <w:rFonts w:hint="cs"/>
                <w:sz w:val="24"/>
                <w:szCs w:val="24"/>
                <w:rtl/>
              </w:rPr>
              <w:t>ובני משפחה העובדים</w:t>
            </w:r>
            <w:r w:rsidRPr="00CC5A8D">
              <w:rPr>
                <w:sz w:val="24"/>
                <w:szCs w:val="24"/>
                <w:rtl/>
              </w:rPr>
              <w:t xml:space="preserve"> ללא שכר</w:t>
            </w:r>
            <w:r w:rsidRPr="00CC5A8D">
              <w:rPr>
                <w:rFonts w:hint="cs"/>
                <w:sz w:val="24"/>
                <w:szCs w:val="24"/>
                <w:rtl/>
              </w:rPr>
              <w:t>.</w:t>
            </w:r>
          </w:p>
          <w:p w:rsidR="00681B55" w:rsidRPr="00CC5A8D" w:rsidRDefault="00681B55" w:rsidP="00CC5A8D">
            <w:pPr>
              <w:spacing w:line="80" w:lineRule="exact"/>
              <w:ind w:left="142" w:hanging="142"/>
              <w:jc w:val="both"/>
              <w:rPr>
                <w:rFonts w:ascii="Arial" w:hAnsi="Arial" w:cs="David"/>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pacing w:val="4"/>
                <w:sz w:val="24"/>
                <w:szCs w:val="24"/>
                <w:rtl/>
              </w:rPr>
            </w:pPr>
            <w:r w:rsidRPr="008D289C">
              <w:rPr>
                <w:rFonts w:ascii="Arial" w:hAnsi="Arial" w:cs="David" w:hint="cs"/>
                <w:b/>
                <w:bCs/>
                <w:spacing w:val="4"/>
                <w:sz w:val="24"/>
                <w:szCs w:val="24"/>
                <w:rtl/>
              </w:rPr>
              <w:t>תמורה למשרה</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כוללת את ההוצאה לשכר ולמשכורת והוצאות נלוות לשכר ולמשכורת (הגדרה זו כוללת את סך התמורה למשרה והיא שונה מעלות העבודה המדווחת במסגרת מדדים חודשיים, מאחר ובדוחות הכספיים של המפעלים נכללים תשלומי בונוסים, מענקים והפרשות, שלא דווחו בנתונים חודשיים).</w:t>
            </w:r>
          </w:p>
          <w:p w:rsidR="00681B55" w:rsidRPr="00CC5A8D" w:rsidRDefault="00681B55" w:rsidP="00CC5A8D">
            <w:pPr>
              <w:pStyle w:val="21"/>
              <w:spacing w:before="0" w:line="-60" w:lineRule="auto"/>
              <w:ind w:left="142" w:right="0" w:hanging="142"/>
              <w:rPr>
                <w:rFonts w:ascii="Arial" w:hAnsi="Arial"/>
                <w:sz w:val="24"/>
                <w:rtl/>
                <w:lang w:eastAsia="en-US"/>
              </w:rPr>
            </w:pPr>
          </w:p>
        </w:tc>
      </w:tr>
      <w:tr w:rsidR="00681B55" w:rsidRPr="00DA7B30" w:rsidTr="00CC5A8D">
        <w:trPr>
          <w:trHeight w:val="12"/>
        </w:trPr>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פדיון</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ערך המכירות לשוק המקומי, מכירות ליצוא, הכנסות מעבודות ותיקונים והכנסות מייצור מוצרים לשימוש עצמי. הפדיון כולל גם פעילות לא תעשייתית (ללא רווחי הון), סובסידיות ותמריצי יצוא ואינו כולל מיסים (מס קנייה ומס ערך מוסף).</w:t>
            </w: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lastRenderedPageBreak/>
              <w:t>תפוקה גולמית</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sz w:val="24"/>
                <w:szCs w:val="24"/>
                <w:rtl/>
              </w:rPr>
              <w:t>מוגדרת כ</w:t>
            </w:r>
            <w:r w:rsidRPr="00CC5A8D">
              <w:rPr>
                <w:rFonts w:hint="cs"/>
                <w:sz w:val="24"/>
                <w:szCs w:val="24"/>
                <w:rtl/>
              </w:rPr>
              <w:t>סך הפדיון</w:t>
            </w:r>
            <w:r w:rsidRPr="00CC5A8D">
              <w:rPr>
                <w:sz w:val="24"/>
                <w:szCs w:val="24"/>
                <w:rtl/>
              </w:rPr>
              <w:t xml:space="preserve">, בתוספת </w:t>
            </w:r>
            <w:r w:rsidRPr="00CC5A8D">
              <w:rPr>
                <w:rFonts w:hint="cs"/>
                <w:sz w:val="24"/>
                <w:szCs w:val="24"/>
                <w:rtl/>
              </w:rPr>
              <w:t>ערך השינוי</w:t>
            </w:r>
            <w:r w:rsidRPr="00CC5A8D">
              <w:rPr>
                <w:sz w:val="24"/>
                <w:szCs w:val="24"/>
                <w:rtl/>
              </w:rPr>
              <w:t xml:space="preserve"> במלאי </w:t>
            </w:r>
            <w:r w:rsidRPr="00CC5A8D">
              <w:rPr>
                <w:rFonts w:hint="cs"/>
                <w:sz w:val="24"/>
                <w:szCs w:val="24"/>
                <w:rtl/>
              </w:rPr>
              <w:t xml:space="preserve">של </w:t>
            </w:r>
            <w:r w:rsidRPr="00CC5A8D">
              <w:rPr>
                <w:sz w:val="24"/>
                <w:szCs w:val="24"/>
                <w:rtl/>
              </w:rPr>
              <w:t>מוצרים גמורים ו</w:t>
            </w:r>
            <w:r w:rsidRPr="00CC5A8D">
              <w:rPr>
                <w:rFonts w:hint="cs"/>
                <w:sz w:val="24"/>
                <w:szCs w:val="24"/>
                <w:rtl/>
              </w:rPr>
              <w:t>בלתי</w:t>
            </w:r>
            <w:r w:rsidRPr="00CC5A8D">
              <w:rPr>
                <w:sz w:val="24"/>
                <w:szCs w:val="24"/>
                <w:rtl/>
              </w:rPr>
              <w:t xml:space="preserve"> גמורים</w:t>
            </w:r>
            <w:r w:rsidRPr="00CC5A8D">
              <w:rPr>
                <w:rFonts w:hint="cs"/>
                <w:sz w:val="24"/>
                <w:szCs w:val="24"/>
                <w:rtl/>
              </w:rPr>
              <w:t>, ובניכוי ערך הסחורות שנקנו ולא עברו תהליך עיבוד</w:t>
            </w:r>
            <w:r w:rsidRPr="00CC5A8D">
              <w:rPr>
                <w:sz w:val="24"/>
                <w:szCs w:val="24"/>
                <w:rtl/>
              </w:rPr>
              <w:t>.</w:t>
            </w:r>
          </w:p>
          <w:p w:rsidR="00681B55" w:rsidRPr="00CC5A8D" w:rsidRDefault="00681B55" w:rsidP="00CC5A8D">
            <w:pPr>
              <w:pStyle w:val="af0"/>
              <w:ind w:left="142"/>
              <w:jc w:val="both"/>
              <w:rPr>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תשומות</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כולל את צריכת חומרי הגלם, חומרי עזר, מים, חשמל </w:t>
            </w:r>
            <w:proofErr w:type="spellStart"/>
            <w:r w:rsidRPr="00CC5A8D">
              <w:rPr>
                <w:rFonts w:hint="cs"/>
                <w:sz w:val="24"/>
                <w:szCs w:val="24"/>
                <w:rtl/>
              </w:rPr>
              <w:t>וכו</w:t>
            </w:r>
            <w:proofErr w:type="spellEnd"/>
            <w:r w:rsidRPr="00CC5A8D">
              <w:rPr>
                <w:rFonts w:hint="cs"/>
                <w:sz w:val="24"/>
                <w:szCs w:val="24"/>
                <w:rtl/>
              </w:rPr>
              <w:t>', וכן תשומות אחרות בתהליך הייצור כגון עלות עבודה קבלנית, אחזקה ותיקון ציוד וכו' וכן הוצאות כלליות נטו.</w:t>
            </w:r>
          </w:p>
          <w:p w:rsidR="00681B55" w:rsidRPr="00CC5A8D" w:rsidRDefault="00681B55" w:rsidP="00CC5A8D">
            <w:pPr>
              <w:jc w:val="both"/>
              <w:rPr>
                <w:sz w:val="24"/>
                <w:szCs w:val="24"/>
                <w:rtl/>
              </w:rPr>
            </w:pPr>
          </w:p>
        </w:tc>
      </w:tr>
      <w:tr w:rsidR="00681B55" w:rsidRPr="00DA7B30" w:rsidTr="00CC5A8D">
        <w:tc>
          <w:tcPr>
            <w:tcW w:w="2209" w:type="dxa"/>
          </w:tcPr>
          <w:p w:rsidR="00681B55" w:rsidRPr="008D289C" w:rsidRDefault="00681B55" w:rsidP="00200C35">
            <w:pPr>
              <w:spacing w:before="80"/>
              <w:rPr>
                <w:rFonts w:ascii="Arial" w:hAnsi="Arial" w:cs="David"/>
                <w:b/>
                <w:bCs/>
                <w:sz w:val="24"/>
                <w:szCs w:val="24"/>
                <w:rtl/>
              </w:rPr>
            </w:pPr>
            <w:r w:rsidRPr="008D289C">
              <w:rPr>
                <w:rFonts w:ascii="Arial" w:hAnsi="Arial" w:cs="David" w:hint="cs"/>
                <w:b/>
                <w:bCs/>
                <w:sz w:val="24"/>
                <w:szCs w:val="24"/>
                <w:rtl/>
              </w:rPr>
              <w:t>ערך מוסף גולמי (בעבר הופיע בשם תוצר מקומי גולמי)</w:t>
            </w:r>
          </w:p>
        </w:tc>
        <w:tc>
          <w:tcPr>
            <w:tcW w:w="6521" w:type="dxa"/>
            <w:tcMar>
              <w:top w:w="113" w:type="dxa"/>
            </w:tcMar>
          </w:tcPr>
          <w:p w:rsidR="00681B55" w:rsidRPr="00CC5A8D" w:rsidRDefault="00681B55" w:rsidP="00CC5A8D">
            <w:pPr>
              <w:pStyle w:val="af0"/>
              <w:numPr>
                <w:ilvl w:val="0"/>
                <w:numId w:val="12"/>
              </w:numPr>
              <w:ind w:left="142" w:hanging="142"/>
              <w:jc w:val="both"/>
              <w:rPr>
                <w:sz w:val="24"/>
                <w:szCs w:val="24"/>
                <w:rtl/>
              </w:rPr>
            </w:pPr>
            <w:r w:rsidRPr="00CC5A8D">
              <w:rPr>
                <w:rFonts w:hint="cs"/>
                <w:sz w:val="24"/>
                <w:szCs w:val="24"/>
                <w:rtl/>
              </w:rPr>
              <w:t xml:space="preserve">מוגדר כהפרש בין התפוקה הגולמית לבין סך התשומות. </w:t>
            </w:r>
          </w:p>
        </w:tc>
      </w:tr>
    </w:tbl>
    <w:p w:rsidR="006C2E32" w:rsidRDefault="00E44D56" w:rsidP="00200C35">
      <w:pPr>
        <w:spacing w:before="360"/>
        <w:jc w:val="both"/>
        <w:rPr>
          <w:rFonts w:ascii="Arial" w:hAnsi="Arial" w:cs="David"/>
          <w:spacing w:val="2"/>
          <w:sz w:val="24"/>
          <w:szCs w:val="24"/>
          <w:rtl/>
        </w:rPr>
      </w:pPr>
      <w:r w:rsidRPr="008D289C">
        <w:rPr>
          <w:rFonts w:ascii="Arial" w:hAnsi="Arial" w:cs="David" w:hint="cs"/>
          <w:spacing w:val="2"/>
          <w:sz w:val="24"/>
          <w:szCs w:val="24"/>
          <w:rtl/>
        </w:rPr>
        <w:t xml:space="preserve">יש לציין כי </w:t>
      </w:r>
      <w:r w:rsidR="006C2E32" w:rsidRPr="008D289C">
        <w:rPr>
          <w:rFonts w:ascii="Arial" w:hAnsi="Arial" w:cs="David"/>
          <w:spacing w:val="2"/>
          <w:sz w:val="24"/>
          <w:szCs w:val="24"/>
          <w:rtl/>
        </w:rPr>
        <w:t xml:space="preserve">הנתונים על </w:t>
      </w:r>
      <w:r w:rsidR="006C2E32" w:rsidRPr="008D289C">
        <w:rPr>
          <w:rFonts w:ascii="Arial" w:hAnsi="Arial" w:cs="David" w:hint="cs"/>
          <w:spacing w:val="2"/>
          <w:sz w:val="24"/>
          <w:szCs w:val="24"/>
          <w:rtl/>
        </w:rPr>
        <w:t xml:space="preserve">תשומות, פדיון, </w:t>
      </w:r>
      <w:r w:rsidR="006C2E32" w:rsidRPr="008D289C">
        <w:rPr>
          <w:rFonts w:ascii="Arial" w:hAnsi="Arial" w:cs="David"/>
          <w:spacing w:val="2"/>
          <w:sz w:val="24"/>
          <w:szCs w:val="24"/>
          <w:rtl/>
        </w:rPr>
        <w:t xml:space="preserve">תפוקה גולמית </w:t>
      </w:r>
      <w:r w:rsidR="006C2E32" w:rsidRPr="008D289C">
        <w:rPr>
          <w:rFonts w:ascii="Arial" w:hAnsi="Arial" w:cs="David" w:hint="cs"/>
          <w:spacing w:val="2"/>
          <w:sz w:val="24"/>
          <w:szCs w:val="24"/>
          <w:rtl/>
        </w:rPr>
        <w:t>וערך מוסף</w:t>
      </w:r>
      <w:r w:rsidR="006C2E32" w:rsidRPr="008D289C">
        <w:rPr>
          <w:rFonts w:ascii="Arial" w:hAnsi="Arial" w:cs="David"/>
          <w:spacing w:val="2"/>
          <w:sz w:val="24"/>
          <w:szCs w:val="24"/>
          <w:rtl/>
        </w:rPr>
        <w:t xml:space="preserve"> גולמי ניתנים במחירי </w:t>
      </w:r>
      <w:r w:rsidR="006C2E32" w:rsidRPr="008D289C">
        <w:rPr>
          <w:rFonts w:ascii="Arial" w:hAnsi="Arial" w:cs="David" w:hint="cs"/>
          <w:spacing w:val="2"/>
          <w:sz w:val="24"/>
          <w:szCs w:val="24"/>
          <w:rtl/>
        </w:rPr>
        <w:t>בסיס</w:t>
      </w:r>
      <w:r w:rsidR="00F20258" w:rsidRPr="008D289C">
        <w:rPr>
          <w:rFonts w:ascii="Arial" w:hAnsi="Arial" w:cs="David" w:hint="cs"/>
          <w:spacing w:val="2"/>
          <w:sz w:val="24"/>
          <w:szCs w:val="24"/>
          <w:rtl/>
        </w:rPr>
        <w:t xml:space="preserve">, </w:t>
      </w:r>
      <w:r w:rsidR="006C2E32" w:rsidRPr="008D289C">
        <w:rPr>
          <w:rFonts w:ascii="Arial" w:hAnsi="Arial" w:cs="David" w:hint="cs"/>
          <w:spacing w:val="2"/>
          <w:sz w:val="24"/>
          <w:szCs w:val="24"/>
          <w:rtl/>
        </w:rPr>
        <w:t>כלומר</w:t>
      </w:r>
      <w:r w:rsidR="006C2E32" w:rsidRPr="008D289C">
        <w:rPr>
          <w:rFonts w:ascii="Arial" w:hAnsi="Arial" w:cs="David"/>
          <w:spacing w:val="2"/>
          <w:sz w:val="24"/>
          <w:szCs w:val="24"/>
          <w:rtl/>
        </w:rPr>
        <w:t xml:space="preserve"> ללא מסים וכולל סובסידיות והטבות ליצוא.</w:t>
      </w:r>
    </w:p>
    <w:tbl>
      <w:tblPr>
        <w:bidiVisual/>
        <w:tblW w:w="9014" w:type="dxa"/>
        <w:tblInd w:w="108" w:type="dxa"/>
        <w:tblLayout w:type="fixed"/>
        <w:tblCellMar>
          <w:top w:w="142" w:type="dxa"/>
        </w:tblCellMar>
        <w:tblLook w:val="01E0" w:firstRow="1" w:lastRow="1" w:firstColumn="1" w:lastColumn="1" w:noHBand="0" w:noVBand="0"/>
        <w:tblCaption w:val="לוחות 16-13: הלמ&quot;ס, סקר התעשייה"/>
      </w:tblPr>
      <w:tblGrid>
        <w:gridCol w:w="2209"/>
        <w:gridCol w:w="6805"/>
      </w:tblGrid>
      <w:tr w:rsidR="00200C35" w:rsidRPr="00DA7B30" w:rsidTr="00CC5A8D">
        <w:tc>
          <w:tcPr>
            <w:tcW w:w="2209" w:type="dxa"/>
          </w:tcPr>
          <w:p w:rsidR="00200C35" w:rsidRPr="008D289C" w:rsidRDefault="00200C35" w:rsidP="007C7D18">
            <w:pPr>
              <w:spacing w:before="80"/>
              <w:rPr>
                <w:rFonts w:ascii="Arial" w:hAnsi="Arial" w:cs="David"/>
                <w:b/>
                <w:bCs/>
                <w:sz w:val="24"/>
                <w:szCs w:val="24"/>
                <w:rtl/>
              </w:rPr>
            </w:pPr>
            <w:r w:rsidRPr="008D289C">
              <w:rPr>
                <w:rFonts w:ascii="Arial" w:hAnsi="Arial" w:cs="David" w:hint="cs"/>
                <w:b/>
                <w:bCs/>
                <w:spacing w:val="2"/>
                <w:sz w:val="24"/>
                <w:szCs w:val="24"/>
                <w:rtl/>
              </w:rPr>
              <w:t>סיווג לפי עצמה טכנולוגית</w:t>
            </w:r>
          </w:p>
        </w:tc>
        <w:tc>
          <w:tcPr>
            <w:tcW w:w="6805" w:type="dxa"/>
            <w:tcMar>
              <w:top w:w="113" w:type="dxa"/>
            </w:tcMar>
          </w:tcPr>
          <w:p w:rsidR="00200C35" w:rsidRPr="00CC5A8D" w:rsidRDefault="00200C35" w:rsidP="00CC5A8D">
            <w:pPr>
              <w:pStyle w:val="af0"/>
              <w:numPr>
                <w:ilvl w:val="0"/>
                <w:numId w:val="12"/>
              </w:numPr>
              <w:ind w:left="234" w:hanging="234"/>
              <w:jc w:val="both"/>
              <w:rPr>
                <w:spacing w:val="2"/>
                <w:sz w:val="24"/>
                <w:szCs w:val="24"/>
                <w:rtl/>
              </w:rPr>
            </w:pPr>
            <w:r w:rsidRPr="00CC5A8D">
              <w:rPr>
                <w:rFonts w:hint="cs"/>
                <w:spacing w:val="2"/>
                <w:sz w:val="24"/>
                <w:szCs w:val="24"/>
                <w:rtl/>
              </w:rPr>
              <w:t>ענפי התעשייה קובצו ל-4 קבוצות לפי עצמתם הטכנולוגית, בהתאם לסיווג שהמליץ ה-</w:t>
            </w:r>
            <w:r w:rsidRPr="00CC5A8D">
              <w:rPr>
                <w:spacing w:val="2"/>
              </w:rPr>
              <w:t>OECD</w:t>
            </w:r>
            <w:r w:rsidRPr="00CC5A8D">
              <w:rPr>
                <w:rFonts w:hint="cs"/>
                <w:spacing w:val="2"/>
                <w:sz w:val="24"/>
                <w:szCs w:val="24"/>
                <w:rtl/>
              </w:rPr>
              <w:t xml:space="preserve">. סיווג המפעלים לפי עצמה טכנולוגית נעשה עפ"י פעילותו העיקרית של כל מפעל ועפ"י סיווגו לענף כלכלי, בהתאם לסיווג האחיד של ענפי הכלכלה, 2011. הסיווג לפי עצמה טכנולוגית שונה מהסיווג שהיה נהוג עד כה בעיקר בעקבות אי-הכללת ענפי הכרייה והחציבה וההוצאה לאור בתעשייה וכן בעקבות שינוי בחלוקת ענפי התעשייה לעוצמות טכנולוגיות שונות. </w:t>
            </w:r>
          </w:p>
          <w:p w:rsidR="00200C35" w:rsidRPr="008D289C" w:rsidRDefault="00200C35" w:rsidP="00CC5A8D">
            <w:pPr>
              <w:ind w:left="234"/>
              <w:jc w:val="both"/>
              <w:rPr>
                <w:rFonts w:ascii="Arial" w:hAnsi="Arial" w:cs="David"/>
                <w:spacing w:val="2"/>
                <w:sz w:val="24"/>
                <w:szCs w:val="24"/>
                <w:rtl/>
              </w:rPr>
            </w:pPr>
            <w:r w:rsidRPr="008D289C">
              <w:rPr>
                <w:rFonts w:ascii="Arial" w:hAnsi="Arial" w:cs="David" w:hint="cs"/>
                <w:spacing w:val="2"/>
                <w:sz w:val="24"/>
                <w:szCs w:val="24"/>
                <w:rtl/>
              </w:rPr>
              <w:t xml:space="preserve">סוגי העוצמות הטכנולוגיות (מהגבוה לנמוך) הם: </w:t>
            </w:r>
          </w:p>
          <w:p w:rsidR="00200C35" w:rsidRPr="008D289C" w:rsidRDefault="00200C35" w:rsidP="00200C35">
            <w:pPr>
              <w:numPr>
                <w:ilvl w:val="0"/>
                <w:numId w:val="2"/>
              </w:numPr>
              <w:ind w:left="743" w:hanging="426"/>
              <w:jc w:val="both"/>
              <w:rPr>
                <w:rFonts w:ascii="Arial" w:hAnsi="Arial" w:cs="David"/>
                <w:spacing w:val="2"/>
                <w:sz w:val="24"/>
                <w:szCs w:val="24"/>
              </w:rPr>
            </w:pPr>
            <w:r w:rsidRPr="008D289C">
              <w:rPr>
                <w:rFonts w:ascii="Arial" w:hAnsi="Arial" w:cs="David" w:hint="cs"/>
                <w:b/>
                <w:bCs/>
                <w:spacing w:val="2"/>
                <w:sz w:val="24"/>
                <w:szCs w:val="24"/>
                <w:rtl/>
              </w:rPr>
              <w:t>טכנולוגיה עילית</w:t>
            </w:r>
            <w:r w:rsidRPr="008D289C">
              <w:rPr>
                <w:rFonts w:ascii="Arial" w:hAnsi="Arial" w:cs="David" w:hint="cs"/>
                <w:spacing w:val="2"/>
                <w:sz w:val="24"/>
                <w:szCs w:val="24"/>
                <w:rtl/>
              </w:rPr>
              <w:t xml:space="preserve"> - כוללת את הענפים: ייצור תרופות קונבנציונליות ותרופות הומאופתיות, ייצור מחשבים, מכשור אלקטרוני ואופטי, ייצור כלי טיס, חלליות וציוד נלווה. </w:t>
            </w:r>
          </w:p>
          <w:p w:rsidR="00200C35" w:rsidRPr="008D289C" w:rsidRDefault="00200C35" w:rsidP="00200C35">
            <w:pPr>
              <w:numPr>
                <w:ilvl w:val="0"/>
                <w:numId w:val="2"/>
              </w:numPr>
              <w:ind w:left="743" w:hanging="426"/>
              <w:jc w:val="both"/>
              <w:rPr>
                <w:rFonts w:ascii="Arial" w:hAnsi="Arial" w:cs="David"/>
                <w:spacing w:val="2"/>
                <w:sz w:val="24"/>
                <w:szCs w:val="24"/>
              </w:rPr>
            </w:pPr>
            <w:r w:rsidRPr="008D289C">
              <w:rPr>
                <w:rFonts w:ascii="Arial" w:hAnsi="Arial" w:cs="David" w:hint="cs"/>
                <w:b/>
                <w:bCs/>
                <w:spacing w:val="2"/>
                <w:sz w:val="24"/>
                <w:szCs w:val="24"/>
                <w:rtl/>
              </w:rPr>
              <w:t>טכנולוגיה מעורבת-עילית</w:t>
            </w:r>
            <w:r w:rsidRPr="008D289C">
              <w:rPr>
                <w:rFonts w:ascii="Arial" w:hAnsi="Arial" w:cs="David" w:hint="cs"/>
                <w:spacing w:val="2"/>
                <w:sz w:val="24"/>
                <w:szCs w:val="24"/>
                <w:rtl/>
              </w:rPr>
              <w:t xml:space="preserve"> - כוללת את הענפים: ייצור כימיקלים ומוצריהם, ייצור נשק ותחמושת, ייצור ציוד חשמלי, ייצור מכונות וציוד שאינו נזכר במקום אחר, ייצור כלי תחבורה והובלה אחרים (אינו כולל: בניית ספינות ואניות וייצור כלי טיס, חלליות וציוד נלווה), ייצור ציוד רפואי, דנטלי ואורתופדי. </w:t>
            </w:r>
          </w:p>
          <w:p w:rsidR="00200C35" w:rsidRDefault="00200C35" w:rsidP="00200C35">
            <w:pPr>
              <w:numPr>
                <w:ilvl w:val="0"/>
                <w:numId w:val="2"/>
              </w:numPr>
              <w:ind w:left="743" w:hanging="426"/>
              <w:jc w:val="both"/>
              <w:rPr>
                <w:rFonts w:ascii="Arial" w:hAnsi="Arial" w:cs="David"/>
                <w:spacing w:val="2"/>
                <w:sz w:val="24"/>
                <w:szCs w:val="24"/>
              </w:rPr>
            </w:pPr>
            <w:r w:rsidRPr="008D289C">
              <w:rPr>
                <w:rFonts w:ascii="Arial" w:hAnsi="Arial" w:cs="David" w:hint="cs"/>
                <w:b/>
                <w:bCs/>
                <w:spacing w:val="2"/>
                <w:sz w:val="24"/>
                <w:szCs w:val="24"/>
                <w:rtl/>
              </w:rPr>
              <w:t>טכנולוגיה מעורבת-מסורתית</w:t>
            </w:r>
            <w:r w:rsidRPr="008D289C">
              <w:rPr>
                <w:rFonts w:ascii="Arial" w:hAnsi="Arial" w:cs="David" w:hint="cs"/>
                <w:spacing w:val="2"/>
                <w:sz w:val="24"/>
                <w:szCs w:val="24"/>
                <w:rtl/>
              </w:rPr>
              <w:t xml:space="preserve"> - כוללת את הענפים: שכפול חומר תקשורתי מוקלט, ייצור קוק ומוצרי נפט גולמי מזוקק, ייצור מוצרי גומי ופלסטיק, ייצור מוצרים אחרים על בסיס מינרלים אל-מתכתיים, תעשיית מתכות בסיסיות, ייצור מוצרי מתכת בהרכבה, פרט למכונות וציוד (אינו כולל ייצור נשק ותחמושת), בניית ספינות ואניות, תיקון, תחזוקה והתקנה של מכונות וציוד. </w:t>
            </w:r>
          </w:p>
          <w:p w:rsidR="00200C35" w:rsidRPr="00200C35" w:rsidRDefault="00200C35" w:rsidP="00200C35">
            <w:pPr>
              <w:numPr>
                <w:ilvl w:val="0"/>
                <w:numId w:val="2"/>
              </w:numPr>
              <w:ind w:left="743" w:hanging="426"/>
              <w:jc w:val="both"/>
              <w:rPr>
                <w:rFonts w:ascii="Arial" w:hAnsi="Arial" w:cs="David"/>
                <w:spacing w:val="2"/>
                <w:sz w:val="24"/>
                <w:szCs w:val="24"/>
                <w:rtl/>
              </w:rPr>
            </w:pPr>
            <w:r w:rsidRPr="00200C35">
              <w:rPr>
                <w:rFonts w:ascii="Arial" w:hAnsi="Arial" w:cs="David" w:hint="cs"/>
                <w:b/>
                <w:bCs/>
                <w:spacing w:val="2"/>
                <w:sz w:val="24"/>
                <w:szCs w:val="24"/>
                <w:rtl/>
              </w:rPr>
              <w:t xml:space="preserve">טכנולוגיה מסורתית </w:t>
            </w:r>
            <w:r w:rsidRPr="00200C35">
              <w:rPr>
                <w:rFonts w:ascii="Arial" w:hAnsi="Arial" w:cs="David" w:hint="cs"/>
                <w:spacing w:val="2"/>
                <w:sz w:val="24"/>
                <w:szCs w:val="24"/>
                <w:rtl/>
              </w:rPr>
              <w:t>- כוללת את הענפים: ייצור מוצרי מזון, ייצור משקאות, ייצור מוצרי טבק, ייצור טקסטיל, ייצור מוצרי הלבשה, ייצור ועיבוד של מוצרי עור ושל אביזרים נלווים, ייצור מוצרי עץ ומוצרי עץ ושעם (פרט לרהיטים), ייצור מוצרי קש ומוצרים מחומרי קליעה, ייצור נייר ומוצריו, הדפסה של חומר תקשורתי מוקלט, ייצור רהיטים וענפי ייצור אחרים (אינו כולל ייצור ציוד רפואי, דנטלי ואורתופדי).</w:t>
            </w:r>
          </w:p>
        </w:tc>
      </w:tr>
    </w:tbl>
    <w:p w:rsidR="00B331CD" w:rsidRPr="008D289C" w:rsidRDefault="00B331CD" w:rsidP="00F20258">
      <w:pPr>
        <w:jc w:val="both"/>
        <w:rPr>
          <w:rFonts w:ascii="Arial" w:hAnsi="Arial" w:cs="David"/>
          <w:spacing w:val="2"/>
          <w:sz w:val="24"/>
          <w:szCs w:val="24"/>
          <w:rtl/>
        </w:rPr>
      </w:pPr>
    </w:p>
    <w:sectPr w:rsidR="00B331CD" w:rsidRPr="008D289C" w:rsidSect="00102651">
      <w:footerReference w:type="even" r:id="rId12"/>
      <w:pgSz w:w="11907" w:h="16840"/>
      <w:pgMar w:top="1134" w:right="1701" w:bottom="2268" w:left="1701" w:header="720" w:footer="1701" w:gutter="0"/>
      <w:pgNumType w:start="295"/>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13F" w:rsidRDefault="0080513F">
      <w:r>
        <w:separator/>
      </w:r>
    </w:p>
  </w:endnote>
  <w:endnote w:type="continuationSeparator" w:id="0">
    <w:p w:rsidR="0080513F" w:rsidRDefault="0080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F96" w:rsidRDefault="005B6F96">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172</w:t>
    </w:r>
    <w:r>
      <w:rPr>
        <w:rStyle w:val="a9"/>
        <w:rtl/>
      </w:rPr>
      <w:fldChar w:fldCharType="end"/>
    </w:r>
  </w:p>
  <w:p w:rsidR="005B6F96" w:rsidRDefault="005B6F96">
    <w:pPr>
      <w:pStyle w:val="a8"/>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13F" w:rsidRDefault="0080513F">
      <w:r>
        <w:separator/>
      </w:r>
    </w:p>
  </w:footnote>
  <w:footnote w:type="continuationSeparator" w:id="0">
    <w:p w:rsidR="0080513F" w:rsidRDefault="0080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2E8"/>
    <w:multiLevelType w:val="hybridMultilevel"/>
    <w:tmpl w:val="B022BD98"/>
    <w:lvl w:ilvl="0" w:tplc="6A2A5F1C">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
    <w:nsid w:val="09651F5A"/>
    <w:multiLevelType w:val="hybridMultilevel"/>
    <w:tmpl w:val="DA0E059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77DCA"/>
    <w:multiLevelType w:val="hybridMultilevel"/>
    <w:tmpl w:val="1D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16905"/>
    <w:multiLevelType w:val="hybridMultilevel"/>
    <w:tmpl w:val="422CFB82"/>
    <w:lvl w:ilvl="0" w:tplc="ADFC18E2">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nsid w:val="398448A7"/>
    <w:multiLevelType w:val="hybridMultilevel"/>
    <w:tmpl w:val="EBF80B92"/>
    <w:lvl w:ilvl="0" w:tplc="A9E08AB2">
      <w:numFmt w:val="bullet"/>
      <w:lvlText w:val="-"/>
      <w:lvlJc w:val="left"/>
      <w:pPr>
        <w:ind w:left="1440" w:hanging="360"/>
      </w:pPr>
      <w:rPr>
        <w:rFonts w:ascii="Arial" w:eastAsia="Times New Roman" w:hAnsi="Aria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54637E"/>
    <w:multiLevelType w:val="hybridMultilevel"/>
    <w:tmpl w:val="7A801F0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3D5786"/>
    <w:multiLevelType w:val="hybridMultilevel"/>
    <w:tmpl w:val="D9925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B4144F"/>
    <w:multiLevelType w:val="hybridMultilevel"/>
    <w:tmpl w:val="9BE65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0DC4474"/>
    <w:multiLevelType w:val="hybridMultilevel"/>
    <w:tmpl w:val="A5BEE8AE"/>
    <w:lvl w:ilvl="0" w:tplc="E4D8F1E6">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4D2B4B"/>
    <w:multiLevelType w:val="hybridMultilevel"/>
    <w:tmpl w:val="4A66BEF6"/>
    <w:lvl w:ilvl="0" w:tplc="6C662274">
      <w:start w:val="1"/>
      <w:numFmt w:val="bullet"/>
      <w:lvlText w:val=""/>
      <w:lvlJc w:val="left"/>
      <w:pPr>
        <w:ind w:left="801" w:hanging="360"/>
      </w:pPr>
      <w:rPr>
        <w:rFonts w:ascii="Symbol" w:hAnsi="Symbol" w:hint="default"/>
        <w:lang w:bidi="he-IL"/>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0">
    <w:nsid w:val="55FF70D7"/>
    <w:multiLevelType w:val="hybridMultilevel"/>
    <w:tmpl w:val="58D8F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EAE0366"/>
    <w:multiLevelType w:val="hybridMultilevel"/>
    <w:tmpl w:val="27FA0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6834984"/>
    <w:multiLevelType w:val="singleLevel"/>
    <w:tmpl w:val="0C22CC5C"/>
    <w:lvl w:ilvl="0">
      <w:start w:val="1"/>
      <w:numFmt w:val="upperRoman"/>
      <w:lvlText w:val="%1."/>
      <w:lvlJc w:val="left"/>
      <w:pPr>
        <w:tabs>
          <w:tab w:val="num" w:pos="360"/>
        </w:tabs>
        <w:ind w:left="360" w:hanging="360"/>
      </w:pPr>
      <w:rPr>
        <w:rFonts w:hint="default"/>
      </w:rPr>
    </w:lvl>
  </w:abstractNum>
  <w:abstractNum w:abstractNumId="13">
    <w:nsid w:val="7C423148"/>
    <w:multiLevelType w:val="hybridMultilevel"/>
    <w:tmpl w:val="C6AAFC4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9"/>
  </w:num>
  <w:num w:numId="5">
    <w:abstractNumId w:val="3"/>
  </w:num>
  <w:num w:numId="6">
    <w:abstractNumId w:val="13"/>
  </w:num>
  <w:num w:numId="7">
    <w:abstractNumId w:val="5"/>
  </w:num>
  <w:num w:numId="8">
    <w:abstractNumId w:val="1"/>
  </w:num>
  <w:num w:numId="9">
    <w:abstractNumId w:val="2"/>
  </w:num>
  <w:num w:numId="10">
    <w:abstractNumId w:val="10"/>
  </w:num>
  <w:num w:numId="11">
    <w:abstractNumId w:val="11"/>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44"/>
    <w:rsid w:val="000003C3"/>
    <w:rsid w:val="00001461"/>
    <w:rsid w:val="000100C7"/>
    <w:rsid w:val="0001666A"/>
    <w:rsid w:val="000169AD"/>
    <w:rsid w:val="000207E9"/>
    <w:rsid w:val="00024A9C"/>
    <w:rsid w:val="0002523C"/>
    <w:rsid w:val="00025744"/>
    <w:rsid w:val="00030F81"/>
    <w:rsid w:val="000311E4"/>
    <w:rsid w:val="00033CC9"/>
    <w:rsid w:val="00036088"/>
    <w:rsid w:val="00036636"/>
    <w:rsid w:val="000431E6"/>
    <w:rsid w:val="000431F3"/>
    <w:rsid w:val="00043F82"/>
    <w:rsid w:val="00044EDD"/>
    <w:rsid w:val="00046497"/>
    <w:rsid w:val="00047EE6"/>
    <w:rsid w:val="000505D8"/>
    <w:rsid w:val="00052642"/>
    <w:rsid w:val="00052F8D"/>
    <w:rsid w:val="00053100"/>
    <w:rsid w:val="00053CED"/>
    <w:rsid w:val="0005464E"/>
    <w:rsid w:val="00055A0E"/>
    <w:rsid w:val="00057081"/>
    <w:rsid w:val="00061F20"/>
    <w:rsid w:val="0006319E"/>
    <w:rsid w:val="000712D2"/>
    <w:rsid w:val="00074735"/>
    <w:rsid w:val="00074FCE"/>
    <w:rsid w:val="000757F5"/>
    <w:rsid w:val="00075ABE"/>
    <w:rsid w:val="0007763E"/>
    <w:rsid w:val="00083499"/>
    <w:rsid w:val="00084CC8"/>
    <w:rsid w:val="000A0602"/>
    <w:rsid w:val="000A19C0"/>
    <w:rsid w:val="000A226E"/>
    <w:rsid w:val="000A30F6"/>
    <w:rsid w:val="000A760A"/>
    <w:rsid w:val="000A7B81"/>
    <w:rsid w:val="000B269B"/>
    <w:rsid w:val="000B2E02"/>
    <w:rsid w:val="000B36A8"/>
    <w:rsid w:val="000B453F"/>
    <w:rsid w:val="000B4DA5"/>
    <w:rsid w:val="000B5A01"/>
    <w:rsid w:val="000B6752"/>
    <w:rsid w:val="000B7B10"/>
    <w:rsid w:val="000B7C48"/>
    <w:rsid w:val="000B7D0D"/>
    <w:rsid w:val="000C0030"/>
    <w:rsid w:val="000C2C9F"/>
    <w:rsid w:val="000C39D0"/>
    <w:rsid w:val="000C42C3"/>
    <w:rsid w:val="000C62BA"/>
    <w:rsid w:val="000C6C95"/>
    <w:rsid w:val="000C7E3B"/>
    <w:rsid w:val="000D0419"/>
    <w:rsid w:val="000D1A89"/>
    <w:rsid w:val="000D254B"/>
    <w:rsid w:val="000D4CC1"/>
    <w:rsid w:val="000D56C5"/>
    <w:rsid w:val="000D755B"/>
    <w:rsid w:val="000E21AE"/>
    <w:rsid w:val="000E5A68"/>
    <w:rsid w:val="000F0684"/>
    <w:rsid w:val="000F10DF"/>
    <w:rsid w:val="000F1C57"/>
    <w:rsid w:val="000F6C15"/>
    <w:rsid w:val="000F7DE0"/>
    <w:rsid w:val="000F7DFD"/>
    <w:rsid w:val="00102651"/>
    <w:rsid w:val="00104313"/>
    <w:rsid w:val="00107308"/>
    <w:rsid w:val="00107F34"/>
    <w:rsid w:val="00110F1E"/>
    <w:rsid w:val="001110AA"/>
    <w:rsid w:val="001122FF"/>
    <w:rsid w:val="001127AC"/>
    <w:rsid w:val="00114134"/>
    <w:rsid w:val="0011604B"/>
    <w:rsid w:val="00116EE2"/>
    <w:rsid w:val="001221FE"/>
    <w:rsid w:val="001227DC"/>
    <w:rsid w:val="001245E2"/>
    <w:rsid w:val="001252E3"/>
    <w:rsid w:val="001267D2"/>
    <w:rsid w:val="001303B9"/>
    <w:rsid w:val="00131AA0"/>
    <w:rsid w:val="0013581A"/>
    <w:rsid w:val="00136DB7"/>
    <w:rsid w:val="00140D56"/>
    <w:rsid w:val="00141783"/>
    <w:rsid w:val="00142060"/>
    <w:rsid w:val="00144D8E"/>
    <w:rsid w:val="00146EBC"/>
    <w:rsid w:val="001511B7"/>
    <w:rsid w:val="001517E7"/>
    <w:rsid w:val="00151F9A"/>
    <w:rsid w:val="001526B5"/>
    <w:rsid w:val="001551C0"/>
    <w:rsid w:val="001551C3"/>
    <w:rsid w:val="00160881"/>
    <w:rsid w:val="00161C9D"/>
    <w:rsid w:val="001631A8"/>
    <w:rsid w:val="00164D5D"/>
    <w:rsid w:val="00167B7A"/>
    <w:rsid w:val="001702D2"/>
    <w:rsid w:val="00171E35"/>
    <w:rsid w:val="00173176"/>
    <w:rsid w:val="001757FA"/>
    <w:rsid w:val="00176B3E"/>
    <w:rsid w:val="00176CBE"/>
    <w:rsid w:val="00177F9B"/>
    <w:rsid w:val="0018035A"/>
    <w:rsid w:val="001807FE"/>
    <w:rsid w:val="001824EA"/>
    <w:rsid w:val="00187EB9"/>
    <w:rsid w:val="00190DC9"/>
    <w:rsid w:val="00191E6F"/>
    <w:rsid w:val="00194C9A"/>
    <w:rsid w:val="001958AB"/>
    <w:rsid w:val="00195BF9"/>
    <w:rsid w:val="00196194"/>
    <w:rsid w:val="001A2EAE"/>
    <w:rsid w:val="001A32AD"/>
    <w:rsid w:val="001A4DF0"/>
    <w:rsid w:val="001A5801"/>
    <w:rsid w:val="001A6166"/>
    <w:rsid w:val="001B1411"/>
    <w:rsid w:val="001B350A"/>
    <w:rsid w:val="001B4298"/>
    <w:rsid w:val="001B441C"/>
    <w:rsid w:val="001B4C6D"/>
    <w:rsid w:val="001C19D8"/>
    <w:rsid w:val="001C29B0"/>
    <w:rsid w:val="001C459C"/>
    <w:rsid w:val="001C49CD"/>
    <w:rsid w:val="001C63E7"/>
    <w:rsid w:val="001C75FC"/>
    <w:rsid w:val="001C7C39"/>
    <w:rsid w:val="001D0F8E"/>
    <w:rsid w:val="001D102B"/>
    <w:rsid w:val="001D1A1A"/>
    <w:rsid w:val="001D25EE"/>
    <w:rsid w:val="001D2A37"/>
    <w:rsid w:val="001D777B"/>
    <w:rsid w:val="001E20D6"/>
    <w:rsid w:val="001E26A4"/>
    <w:rsid w:val="001E3705"/>
    <w:rsid w:val="001E48ED"/>
    <w:rsid w:val="001F2589"/>
    <w:rsid w:val="001F39BB"/>
    <w:rsid w:val="001F5095"/>
    <w:rsid w:val="001F5342"/>
    <w:rsid w:val="001F626A"/>
    <w:rsid w:val="001F641D"/>
    <w:rsid w:val="001F7B8F"/>
    <w:rsid w:val="002005EE"/>
    <w:rsid w:val="00200C35"/>
    <w:rsid w:val="00201DB7"/>
    <w:rsid w:val="00203534"/>
    <w:rsid w:val="0021011E"/>
    <w:rsid w:val="0021087B"/>
    <w:rsid w:val="002142B2"/>
    <w:rsid w:val="00214A91"/>
    <w:rsid w:val="00220821"/>
    <w:rsid w:val="00220CAB"/>
    <w:rsid w:val="00221FAB"/>
    <w:rsid w:val="00230025"/>
    <w:rsid w:val="002310DB"/>
    <w:rsid w:val="002323C2"/>
    <w:rsid w:val="002328EA"/>
    <w:rsid w:val="00233B33"/>
    <w:rsid w:val="00236A71"/>
    <w:rsid w:val="00240AD9"/>
    <w:rsid w:val="0024138B"/>
    <w:rsid w:val="00247582"/>
    <w:rsid w:val="0024766E"/>
    <w:rsid w:val="00251A55"/>
    <w:rsid w:val="00252384"/>
    <w:rsid w:val="0025421A"/>
    <w:rsid w:val="00261436"/>
    <w:rsid w:val="00264866"/>
    <w:rsid w:val="002653E4"/>
    <w:rsid w:val="00266701"/>
    <w:rsid w:val="00267F40"/>
    <w:rsid w:val="002706DF"/>
    <w:rsid w:val="002713E7"/>
    <w:rsid w:val="002726D0"/>
    <w:rsid w:val="00272D75"/>
    <w:rsid w:val="00276990"/>
    <w:rsid w:val="00280584"/>
    <w:rsid w:val="0028688F"/>
    <w:rsid w:val="002910C2"/>
    <w:rsid w:val="00291631"/>
    <w:rsid w:val="00292A95"/>
    <w:rsid w:val="00294839"/>
    <w:rsid w:val="00294A52"/>
    <w:rsid w:val="00295A0A"/>
    <w:rsid w:val="00295B65"/>
    <w:rsid w:val="0029788B"/>
    <w:rsid w:val="00297E77"/>
    <w:rsid w:val="002A0CFD"/>
    <w:rsid w:val="002A2984"/>
    <w:rsid w:val="002A34FC"/>
    <w:rsid w:val="002A37DE"/>
    <w:rsid w:val="002A397F"/>
    <w:rsid w:val="002A4B47"/>
    <w:rsid w:val="002A5F3D"/>
    <w:rsid w:val="002A7531"/>
    <w:rsid w:val="002A7620"/>
    <w:rsid w:val="002A78D5"/>
    <w:rsid w:val="002A7A2B"/>
    <w:rsid w:val="002B2CAE"/>
    <w:rsid w:val="002B2F5A"/>
    <w:rsid w:val="002B3ABC"/>
    <w:rsid w:val="002B5AE8"/>
    <w:rsid w:val="002B5D8D"/>
    <w:rsid w:val="002B6AC3"/>
    <w:rsid w:val="002B72E2"/>
    <w:rsid w:val="002C3C19"/>
    <w:rsid w:val="002C4EC8"/>
    <w:rsid w:val="002C5B09"/>
    <w:rsid w:val="002D1CB6"/>
    <w:rsid w:val="002D51EE"/>
    <w:rsid w:val="002D66F0"/>
    <w:rsid w:val="002E0482"/>
    <w:rsid w:val="002E0B1A"/>
    <w:rsid w:val="002E2CC9"/>
    <w:rsid w:val="002E56F6"/>
    <w:rsid w:val="002E695D"/>
    <w:rsid w:val="002F0C06"/>
    <w:rsid w:val="002F1B3D"/>
    <w:rsid w:val="002F30D4"/>
    <w:rsid w:val="002F3DDD"/>
    <w:rsid w:val="002F6020"/>
    <w:rsid w:val="002F707F"/>
    <w:rsid w:val="002F753C"/>
    <w:rsid w:val="00300D51"/>
    <w:rsid w:val="00301AD8"/>
    <w:rsid w:val="00301E76"/>
    <w:rsid w:val="00304A97"/>
    <w:rsid w:val="00305D64"/>
    <w:rsid w:val="00311148"/>
    <w:rsid w:val="003123AD"/>
    <w:rsid w:val="003131E2"/>
    <w:rsid w:val="003154E3"/>
    <w:rsid w:val="003167D6"/>
    <w:rsid w:val="00317EF3"/>
    <w:rsid w:val="00321B1D"/>
    <w:rsid w:val="00322868"/>
    <w:rsid w:val="00324042"/>
    <w:rsid w:val="00325A98"/>
    <w:rsid w:val="00325F60"/>
    <w:rsid w:val="0032797C"/>
    <w:rsid w:val="00330778"/>
    <w:rsid w:val="0033369C"/>
    <w:rsid w:val="00335C3F"/>
    <w:rsid w:val="003379FB"/>
    <w:rsid w:val="00337A80"/>
    <w:rsid w:val="00340DD5"/>
    <w:rsid w:val="003420A5"/>
    <w:rsid w:val="0034284F"/>
    <w:rsid w:val="00344DCE"/>
    <w:rsid w:val="00346CBB"/>
    <w:rsid w:val="0035247B"/>
    <w:rsid w:val="0035631E"/>
    <w:rsid w:val="00357912"/>
    <w:rsid w:val="00357A31"/>
    <w:rsid w:val="003608E7"/>
    <w:rsid w:val="003613D2"/>
    <w:rsid w:val="003628C5"/>
    <w:rsid w:val="00365768"/>
    <w:rsid w:val="00366D42"/>
    <w:rsid w:val="00366EDE"/>
    <w:rsid w:val="003705FB"/>
    <w:rsid w:val="0037081B"/>
    <w:rsid w:val="00373134"/>
    <w:rsid w:val="0037386E"/>
    <w:rsid w:val="00373BF9"/>
    <w:rsid w:val="00374DAB"/>
    <w:rsid w:val="00376906"/>
    <w:rsid w:val="00377105"/>
    <w:rsid w:val="00377799"/>
    <w:rsid w:val="003778BC"/>
    <w:rsid w:val="00380795"/>
    <w:rsid w:val="003807F3"/>
    <w:rsid w:val="00383E0C"/>
    <w:rsid w:val="00392170"/>
    <w:rsid w:val="00393CBD"/>
    <w:rsid w:val="003A29BB"/>
    <w:rsid w:val="003A449B"/>
    <w:rsid w:val="003A4F23"/>
    <w:rsid w:val="003A72F7"/>
    <w:rsid w:val="003A7735"/>
    <w:rsid w:val="003B23BE"/>
    <w:rsid w:val="003B2E8E"/>
    <w:rsid w:val="003B4CEA"/>
    <w:rsid w:val="003B66E1"/>
    <w:rsid w:val="003B7A58"/>
    <w:rsid w:val="003C02DC"/>
    <w:rsid w:val="003C2F17"/>
    <w:rsid w:val="003C7A60"/>
    <w:rsid w:val="003C7B80"/>
    <w:rsid w:val="003D0A82"/>
    <w:rsid w:val="003D267C"/>
    <w:rsid w:val="003D5253"/>
    <w:rsid w:val="003D66B5"/>
    <w:rsid w:val="003D7554"/>
    <w:rsid w:val="003D76AB"/>
    <w:rsid w:val="003E6B6D"/>
    <w:rsid w:val="003E6BDA"/>
    <w:rsid w:val="003F0C3F"/>
    <w:rsid w:val="003F2267"/>
    <w:rsid w:val="003F3896"/>
    <w:rsid w:val="003F685E"/>
    <w:rsid w:val="003F7CFB"/>
    <w:rsid w:val="004039D7"/>
    <w:rsid w:val="00407F9E"/>
    <w:rsid w:val="0041162E"/>
    <w:rsid w:val="00411FA8"/>
    <w:rsid w:val="00413834"/>
    <w:rsid w:val="00417820"/>
    <w:rsid w:val="00424D55"/>
    <w:rsid w:val="0042527E"/>
    <w:rsid w:val="00427222"/>
    <w:rsid w:val="0043023A"/>
    <w:rsid w:val="00432666"/>
    <w:rsid w:val="00436E43"/>
    <w:rsid w:val="00437EE1"/>
    <w:rsid w:val="004401E5"/>
    <w:rsid w:val="004407CC"/>
    <w:rsid w:val="004461F6"/>
    <w:rsid w:val="00447204"/>
    <w:rsid w:val="0044750F"/>
    <w:rsid w:val="004479AD"/>
    <w:rsid w:val="00450C84"/>
    <w:rsid w:val="0045203C"/>
    <w:rsid w:val="00452791"/>
    <w:rsid w:val="00454276"/>
    <w:rsid w:val="00456065"/>
    <w:rsid w:val="00457809"/>
    <w:rsid w:val="00460DAA"/>
    <w:rsid w:val="00461D9C"/>
    <w:rsid w:val="00463AE5"/>
    <w:rsid w:val="004643C5"/>
    <w:rsid w:val="004648F0"/>
    <w:rsid w:val="00471312"/>
    <w:rsid w:val="00474EE3"/>
    <w:rsid w:val="004753BE"/>
    <w:rsid w:val="00475D75"/>
    <w:rsid w:val="0047716C"/>
    <w:rsid w:val="00480792"/>
    <w:rsid w:val="00483B15"/>
    <w:rsid w:val="00484B68"/>
    <w:rsid w:val="004904CD"/>
    <w:rsid w:val="00491D13"/>
    <w:rsid w:val="004937D5"/>
    <w:rsid w:val="0049380F"/>
    <w:rsid w:val="00496460"/>
    <w:rsid w:val="00496B0F"/>
    <w:rsid w:val="00497B92"/>
    <w:rsid w:val="004A722A"/>
    <w:rsid w:val="004B08EB"/>
    <w:rsid w:val="004B3401"/>
    <w:rsid w:val="004B4497"/>
    <w:rsid w:val="004B44E6"/>
    <w:rsid w:val="004B4DC0"/>
    <w:rsid w:val="004B568E"/>
    <w:rsid w:val="004B5F16"/>
    <w:rsid w:val="004C03B5"/>
    <w:rsid w:val="004C06FC"/>
    <w:rsid w:val="004C36CC"/>
    <w:rsid w:val="004D0865"/>
    <w:rsid w:val="004D2681"/>
    <w:rsid w:val="004D413B"/>
    <w:rsid w:val="004D4567"/>
    <w:rsid w:val="004D5511"/>
    <w:rsid w:val="004D56A4"/>
    <w:rsid w:val="004D5D52"/>
    <w:rsid w:val="004E1A2B"/>
    <w:rsid w:val="004E1E22"/>
    <w:rsid w:val="004E6B4C"/>
    <w:rsid w:val="004F107B"/>
    <w:rsid w:val="004F3118"/>
    <w:rsid w:val="004F3FDC"/>
    <w:rsid w:val="004F518E"/>
    <w:rsid w:val="004F677D"/>
    <w:rsid w:val="004F6A93"/>
    <w:rsid w:val="004F7360"/>
    <w:rsid w:val="0050199C"/>
    <w:rsid w:val="005049C7"/>
    <w:rsid w:val="0050659E"/>
    <w:rsid w:val="00510D43"/>
    <w:rsid w:val="005111F0"/>
    <w:rsid w:val="0051258A"/>
    <w:rsid w:val="00513D59"/>
    <w:rsid w:val="00514389"/>
    <w:rsid w:val="005172A3"/>
    <w:rsid w:val="00517D2F"/>
    <w:rsid w:val="00523A05"/>
    <w:rsid w:val="00524C50"/>
    <w:rsid w:val="00525D75"/>
    <w:rsid w:val="00526C94"/>
    <w:rsid w:val="00533651"/>
    <w:rsid w:val="005376BF"/>
    <w:rsid w:val="00537F64"/>
    <w:rsid w:val="00540A30"/>
    <w:rsid w:val="00543341"/>
    <w:rsid w:val="005436B0"/>
    <w:rsid w:val="00543918"/>
    <w:rsid w:val="00543B8E"/>
    <w:rsid w:val="0054450C"/>
    <w:rsid w:val="00547E0F"/>
    <w:rsid w:val="00550CAB"/>
    <w:rsid w:val="00550E0C"/>
    <w:rsid w:val="00551E18"/>
    <w:rsid w:val="005532D7"/>
    <w:rsid w:val="00554DF6"/>
    <w:rsid w:val="0055557B"/>
    <w:rsid w:val="00555ECE"/>
    <w:rsid w:val="00560450"/>
    <w:rsid w:val="00560664"/>
    <w:rsid w:val="00564ADB"/>
    <w:rsid w:val="00565E79"/>
    <w:rsid w:val="005670BB"/>
    <w:rsid w:val="0057187E"/>
    <w:rsid w:val="005719BB"/>
    <w:rsid w:val="00572B70"/>
    <w:rsid w:val="00575568"/>
    <w:rsid w:val="00576A14"/>
    <w:rsid w:val="005808EF"/>
    <w:rsid w:val="00583BEB"/>
    <w:rsid w:val="00583EFD"/>
    <w:rsid w:val="00586AB0"/>
    <w:rsid w:val="00587415"/>
    <w:rsid w:val="00591BA2"/>
    <w:rsid w:val="005931AF"/>
    <w:rsid w:val="00595CB4"/>
    <w:rsid w:val="00596EBD"/>
    <w:rsid w:val="005A457A"/>
    <w:rsid w:val="005A46A6"/>
    <w:rsid w:val="005A4E10"/>
    <w:rsid w:val="005A4FBB"/>
    <w:rsid w:val="005A787B"/>
    <w:rsid w:val="005B1885"/>
    <w:rsid w:val="005B287B"/>
    <w:rsid w:val="005B3575"/>
    <w:rsid w:val="005B3EFA"/>
    <w:rsid w:val="005B50E5"/>
    <w:rsid w:val="005B6F96"/>
    <w:rsid w:val="005C005C"/>
    <w:rsid w:val="005C1213"/>
    <w:rsid w:val="005C7862"/>
    <w:rsid w:val="005D178D"/>
    <w:rsid w:val="005D4685"/>
    <w:rsid w:val="005D5139"/>
    <w:rsid w:val="005D68FB"/>
    <w:rsid w:val="005D6B1B"/>
    <w:rsid w:val="005D7A84"/>
    <w:rsid w:val="005D7B1D"/>
    <w:rsid w:val="005E1D59"/>
    <w:rsid w:val="005E2314"/>
    <w:rsid w:val="005E26DE"/>
    <w:rsid w:val="005E2724"/>
    <w:rsid w:val="005E3AEB"/>
    <w:rsid w:val="005E3CFB"/>
    <w:rsid w:val="005E69AB"/>
    <w:rsid w:val="005E778B"/>
    <w:rsid w:val="005F009C"/>
    <w:rsid w:val="005F0B0F"/>
    <w:rsid w:val="005F1CFC"/>
    <w:rsid w:val="005F4E62"/>
    <w:rsid w:val="005F5F62"/>
    <w:rsid w:val="0060197E"/>
    <w:rsid w:val="00601C27"/>
    <w:rsid w:val="00603225"/>
    <w:rsid w:val="00604B5E"/>
    <w:rsid w:val="00605776"/>
    <w:rsid w:val="006078BB"/>
    <w:rsid w:val="00610F4F"/>
    <w:rsid w:val="00611E3D"/>
    <w:rsid w:val="0061287E"/>
    <w:rsid w:val="006178AD"/>
    <w:rsid w:val="006205FA"/>
    <w:rsid w:val="0062284D"/>
    <w:rsid w:val="00623AC1"/>
    <w:rsid w:val="006267E0"/>
    <w:rsid w:val="00627341"/>
    <w:rsid w:val="006304D8"/>
    <w:rsid w:val="0063358A"/>
    <w:rsid w:val="00633FC0"/>
    <w:rsid w:val="00635ACE"/>
    <w:rsid w:val="00637DCA"/>
    <w:rsid w:val="00641678"/>
    <w:rsid w:val="006473CC"/>
    <w:rsid w:val="00650B8D"/>
    <w:rsid w:val="00650E28"/>
    <w:rsid w:val="006514F6"/>
    <w:rsid w:val="00652603"/>
    <w:rsid w:val="0065651C"/>
    <w:rsid w:val="00656533"/>
    <w:rsid w:val="00666AF2"/>
    <w:rsid w:val="00666B99"/>
    <w:rsid w:val="00667D78"/>
    <w:rsid w:val="00670304"/>
    <w:rsid w:val="0067123E"/>
    <w:rsid w:val="00673525"/>
    <w:rsid w:val="00675AEC"/>
    <w:rsid w:val="00676390"/>
    <w:rsid w:val="00681000"/>
    <w:rsid w:val="00681B55"/>
    <w:rsid w:val="006823DA"/>
    <w:rsid w:val="006828C0"/>
    <w:rsid w:val="00682D37"/>
    <w:rsid w:val="0068421D"/>
    <w:rsid w:val="00684745"/>
    <w:rsid w:val="006863BF"/>
    <w:rsid w:val="006901DF"/>
    <w:rsid w:val="00692C58"/>
    <w:rsid w:val="00694CB0"/>
    <w:rsid w:val="00696383"/>
    <w:rsid w:val="006A3407"/>
    <w:rsid w:val="006A4549"/>
    <w:rsid w:val="006A675C"/>
    <w:rsid w:val="006B248A"/>
    <w:rsid w:val="006B6B5F"/>
    <w:rsid w:val="006C12F9"/>
    <w:rsid w:val="006C19CC"/>
    <w:rsid w:val="006C2C18"/>
    <w:rsid w:val="006C2E32"/>
    <w:rsid w:val="006C2EB5"/>
    <w:rsid w:val="006C320B"/>
    <w:rsid w:val="006C389E"/>
    <w:rsid w:val="006C5E15"/>
    <w:rsid w:val="006C784A"/>
    <w:rsid w:val="006C7961"/>
    <w:rsid w:val="006C7CFB"/>
    <w:rsid w:val="006D1418"/>
    <w:rsid w:val="006D1877"/>
    <w:rsid w:val="006D60C9"/>
    <w:rsid w:val="006D7DAE"/>
    <w:rsid w:val="006E0D45"/>
    <w:rsid w:val="006E317B"/>
    <w:rsid w:val="006E32AD"/>
    <w:rsid w:val="006E5421"/>
    <w:rsid w:val="006F1036"/>
    <w:rsid w:val="006F11BB"/>
    <w:rsid w:val="006F4B39"/>
    <w:rsid w:val="006F4F2A"/>
    <w:rsid w:val="006F5105"/>
    <w:rsid w:val="006F62EF"/>
    <w:rsid w:val="006F6982"/>
    <w:rsid w:val="006F7B38"/>
    <w:rsid w:val="006F7CD0"/>
    <w:rsid w:val="007000CA"/>
    <w:rsid w:val="007009CB"/>
    <w:rsid w:val="00706183"/>
    <w:rsid w:val="00706F1E"/>
    <w:rsid w:val="007071EC"/>
    <w:rsid w:val="007162B9"/>
    <w:rsid w:val="00716708"/>
    <w:rsid w:val="00716E8B"/>
    <w:rsid w:val="00717545"/>
    <w:rsid w:val="00721B7C"/>
    <w:rsid w:val="007221CA"/>
    <w:rsid w:val="00722B4C"/>
    <w:rsid w:val="00725798"/>
    <w:rsid w:val="007312B8"/>
    <w:rsid w:val="00731524"/>
    <w:rsid w:val="00731CDD"/>
    <w:rsid w:val="007332D9"/>
    <w:rsid w:val="007336E7"/>
    <w:rsid w:val="00734BCB"/>
    <w:rsid w:val="00737410"/>
    <w:rsid w:val="00737C89"/>
    <w:rsid w:val="007554BA"/>
    <w:rsid w:val="0075647E"/>
    <w:rsid w:val="007566A9"/>
    <w:rsid w:val="00757524"/>
    <w:rsid w:val="00757B64"/>
    <w:rsid w:val="00760E04"/>
    <w:rsid w:val="0076458C"/>
    <w:rsid w:val="00764C17"/>
    <w:rsid w:val="00765449"/>
    <w:rsid w:val="007665EC"/>
    <w:rsid w:val="00770B29"/>
    <w:rsid w:val="00774638"/>
    <w:rsid w:val="00777BC7"/>
    <w:rsid w:val="007800DA"/>
    <w:rsid w:val="00780638"/>
    <w:rsid w:val="00782137"/>
    <w:rsid w:val="0078222D"/>
    <w:rsid w:val="00783353"/>
    <w:rsid w:val="0078525A"/>
    <w:rsid w:val="00793BC1"/>
    <w:rsid w:val="00794243"/>
    <w:rsid w:val="00796063"/>
    <w:rsid w:val="007A1553"/>
    <w:rsid w:val="007A1AAB"/>
    <w:rsid w:val="007A1BE7"/>
    <w:rsid w:val="007A2A1E"/>
    <w:rsid w:val="007A53F4"/>
    <w:rsid w:val="007A5600"/>
    <w:rsid w:val="007A5C48"/>
    <w:rsid w:val="007A67FD"/>
    <w:rsid w:val="007B280D"/>
    <w:rsid w:val="007B298E"/>
    <w:rsid w:val="007B2F96"/>
    <w:rsid w:val="007B3ECC"/>
    <w:rsid w:val="007B4145"/>
    <w:rsid w:val="007B4B17"/>
    <w:rsid w:val="007B4C7C"/>
    <w:rsid w:val="007B55F4"/>
    <w:rsid w:val="007C1CE2"/>
    <w:rsid w:val="007C2D8D"/>
    <w:rsid w:val="007C7344"/>
    <w:rsid w:val="007D10D0"/>
    <w:rsid w:val="007D2210"/>
    <w:rsid w:val="007E1732"/>
    <w:rsid w:val="007E6BE0"/>
    <w:rsid w:val="007E77D5"/>
    <w:rsid w:val="007F2BB0"/>
    <w:rsid w:val="007F4568"/>
    <w:rsid w:val="007F4DA3"/>
    <w:rsid w:val="007F5681"/>
    <w:rsid w:val="007F609D"/>
    <w:rsid w:val="00800CCD"/>
    <w:rsid w:val="00802224"/>
    <w:rsid w:val="00802661"/>
    <w:rsid w:val="00804257"/>
    <w:rsid w:val="00804979"/>
    <w:rsid w:val="0080513F"/>
    <w:rsid w:val="0080595C"/>
    <w:rsid w:val="00805B9F"/>
    <w:rsid w:val="008068B6"/>
    <w:rsid w:val="00807692"/>
    <w:rsid w:val="00807F42"/>
    <w:rsid w:val="008142D8"/>
    <w:rsid w:val="00821423"/>
    <w:rsid w:val="00821F2A"/>
    <w:rsid w:val="00822167"/>
    <w:rsid w:val="008265FD"/>
    <w:rsid w:val="00826B17"/>
    <w:rsid w:val="0082753D"/>
    <w:rsid w:val="0083128C"/>
    <w:rsid w:val="008325D7"/>
    <w:rsid w:val="00835A64"/>
    <w:rsid w:val="00836BB3"/>
    <w:rsid w:val="00836E93"/>
    <w:rsid w:val="00840BEA"/>
    <w:rsid w:val="00851515"/>
    <w:rsid w:val="0085379D"/>
    <w:rsid w:val="00853A91"/>
    <w:rsid w:val="00854075"/>
    <w:rsid w:val="008560BF"/>
    <w:rsid w:val="00862DD7"/>
    <w:rsid w:val="00864D15"/>
    <w:rsid w:val="0087261D"/>
    <w:rsid w:val="00872E16"/>
    <w:rsid w:val="008746FE"/>
    <w:rsid w:val="008755A7"/>
    <w:rsid w:val="008761FB"/>
    <w:rsid w:val="008765A9"/>
    <w:rsid w:val="00881EE2"/>
    <w:rsid w:val="00882D08"/>
    <w:rsid w:val="008834F8"/>
    <w:rsid w:val="00885B9E"/>
    <w:rsid w:val="00886DED"/>
    <w:rsid w:val="00887453"/>
    <w:rsid w:val="008875AA"/>
    <w:rsid w:val="008878BA"/>
    <w:rsid w:val="00887ABE"/>
    <w:rsid w:val="008917BE"/>
    <w:rsid w:val="00891F1C"/>
    <w:rsid w:val="008922D2"/>
    <w:rsid w:val="00894911"/>
    <w:rsid w:val="00894FD6"/>
    <w:rsid w:val="00896C85"/>
    <w:rsid w:val="008A0C13"/>
    <w:rsid w:val="008A0EA6"/>
    <w:rsid w:val="008A1467"/>
    <w:rsid w:val="008A3E03"/>
    <w:rsid w:val="008A3FB6"/>
    <w:rsid w:val="008A6C24"/>
    <w:rsid w:val="008B3374"/>
    <w:rsid w:val="008B46E4"/>
    <w:rsid w:val="008B5471"/>
    <w:rsid w:val="008B5E64"/>
    <w:rsid w:val="008C04A7"/>
    <w:rsid w:val="008C5050"/>
    <w:rsid w:val="008C6590"/>
    <w:rsid w:val="008D20D2"/>
    <w:rsid w:val="008D289C"/>
    <w:rsid w:val="008D5AF6"/>
    <w:rsid w:val="008D6F5F"/>
    <w:rsid w:val="008E1441"/>
    <w:rsid w:val="008E449D"/>
    <w:rsid w:val="008E7BAE"/>
    <w:rsid w:val="008F108E"/>
    <w:rsid w:val="008F1C5F"/>
    <w:rsid w:val="008F31BC"/>
    <w:rsid w:val="008F34BA"/>
    <w:rsid w:val="008F4907"/>
    <w:rsid w:val="008F4D4D"/>
    <w:rsid w:val="008F73BB"/>
    <w:rsid w:val="008F7FD8"/>
    <w:rsid w:val="00900684"/>
    <w:rsid w:val="009021C1"/>
    <w:rsid w:val="009026C1"/>
    <w:rsid w:val="00903455"/>
    <w:rsid w:val="009038BD"/>
    <w:rsid w:val="00904614"/>
    <w:rsid w:val="00904F50"/>
    <w:rsid w:val="00907D5E"/>
    <w:rsid w:val="00910E76"/>
    <w:rsid w:val="00914199"/>
    <w:rsid w:val="00914206"/>
    <w:rsid w:val="0091795F"/>
    <w:rsid w:val="00921F90"/>
    <w:rsid w:val="00922025"/>
    <w:rsid w:val="0092767D"/>
    <w:rsid w:val="00927A4F"/>
    <w:rsid w:val="0093085E"/>
    <w:rsid w:val="009308B7"/>
    <w:rsid w:val="00934D03"/>
    <w:rsid w:val="00942671"/>
    <w:rsid w:val="009431B2"/>
    <w:rsid w:val="00943EE5"/>
    <w:rsid w:val="00950AFE"/>
    <w:rsid w:val="00950B8C"/>
    <w:rsid w:val="009519F9"/>
    <w:rsid w:val="00956FE6"/>
    <w:rsid w:val="00960959"/>
    <w:rsid w:val="0096146F"/>
    <w:rsid w:val="00963623"/>
    <w:rsid w:val="009669FD"/>
    <w:rsid w:val="00972551"/>
    <w:rsid w:val="009739A8"/>
    <w:rsid w:val="0097438B"/>
    <w:rsid w:val="00974BF4"/>
    <w:rsid w:val="00975C65"/>
    <w:rsid w:val="00976D47"/>
    <w:rsid w:val="00981868"/>
    <w:rsid w:val="00984B92"/>
    <w:rsid w:val="009855B3"/>
    <w:rsid w:val="00990FC2"/>
    <w:rsid w:val="00995C88"/>
    <w:rsid w:val="009961F4"/>
    <w:rsid w:val="00996B17"/>
    <w:rsid w:val="00997827"/>
    <w:rsid w:val="009A171F"/>
    <w:rsid w:val="009A1DCE"/>
    <w:rsid w:val="009A1E84"/>
    <w:rsid w:val="009A47E8"/>
    <w:rsid w:val="009A5175"/>
    <w:rsid w:val="009A560D"/>
    <w:rsid w:val="009A6A81"/>
    <w:rsid w:val="009A70BA"/>
    <w:rsid w:val="009B17B0"/>
    <w:rsid w:val="009B4162"/>
    <w:rsid w:val="009B6FF2"/>
    <w:rsid w:val="009C0D28"/>
    <w:rsid w:val="009C373B"/>
    <w:rsid w:val="009C7289"/>
    <w:rsid w:val="009C7582"/>
    <w:rsid w:val="009D0245"/>
    <w:rsid w:val="009D0963"/>
    <w:rsid w:val="009D3192"/>
    <w:rsid w:val="009D4A8F"/>
    <w:rsid w:val="009D675E"/>
    <w:rsid w:val="009D6AAD"/>
    <w:rsid w:val="009D7BAA"/>
    <w:rsid w:val="009E27A1"/>
    <w:rsid w:val="009E29AE"/>
    <w:rsid w:val="009E57EB"/>
    <w:rsid w:val="009E5FFF"/>
    <w:rsid w:val="009E62ED"/>
    <w:rsid w:val="009E6EA1"/>
    <w:rsid w:val="009E70DF"/>
    <w:rsid w:val="009F00F7"/>
    <w:rsid w:val="009F01B6"/>
    <w:rsid w:val="009F0517"/>
    <w:rsid w:val="009F39AB"/>
    <w:rsid w:val="009F4C63"/>
    <w:rsid w:val="009F58C1"/>
    <w:rsid w:val="009F7B61"/>
    <w:rsid w:val="00A01355"/>
    <w:rsid w:val="00A039F5"/>
    <w:rsid w:val="00A06226"/>
    <w:rsid w:val="00A06F64"/>
    <w:rsid w:val="00A073E4"/>
    <w:rsid w:val="00A07FE5"/>
    <w:rsid w:val="00A1058E"/>
    <w:rsid w:val="00A10A07"/>
    <w:rsid w:val="00A140EF"/>
    <w:rsid w:val="00A14FFB"/>
    <w:rsid w:val="00A16DD9"/>
    <w:rsid w:val="00A2085C"/>
    <w:rsid w:val="00A20BAD"/>
    <w:rsid w:val="00A238E2"/>
    <w:rsid w:val="00A23BC2"/>
    <w:rsid w:val="00A27576"/>
    <w:rsid w:val="00A279AE"/>
    <w:rsid w:val="00A301BF"/>
    <w:rsid w:val="00A324F5"/>
    <w:rsid w:val="00A33238"/>
    <w:rsid w:val="00A33C76"/>
    <w:rsid w:val="00A374C5"/>
    <w:rsid w:val="00A3780B"/>
    <w:rsid w:val="00A40F89"/>
    <w:rsid w:val="00A4403F"/>
    <w:rsid w:val="00A50642"/>
    <w:rsid w:val="00A548BD"/>
    <w:rsid w:val="00A56714"/>
    <w:rsid w:val="00A60BCB"/>
    <w:rsid w:val="00A6155C"/>
    <w:rsid w:val="00A616FD"/>
    <w:rsid w:val="00A62D8A"/>
    <w:rsid w:val="00A630CF"/>
    <w:rsid w:val="00A63DDF"/>
    <w:rsid w:val="00A65C6A"/>
    <w:rsid w:val="00A67867"/>
    <w:rsid w:val="00A72806"/>
    <w:rsid w:val="00A75C1B"/>
    <w:rsid w:val="00A778B4"/>
    <w:rsid w:val="00A80522"/>
    <w:rsid w:val="00A812F7"/>
    <w:rsid w:val="00A81393"/>
    <w:rsid w:val="00A82736"/>
    <w:rsid w:val="00A83654"/>
    <w:rsid w:val="00A84206"/>
    <w:rsid w:val="00A84622"/>
    <w:rsid w:val="00A86719"/>
    <w:rsid w:val="00A906AA"/>
    <w:rsid w:val="00A91400"/>
    <w:rsid w:val="00A92164"/>
    <w:rsid w:val="00A93B85"/>
    <w:rsid w:val="00A93CC6"/>
    <w:rsid w:val="00A94AC0"/>
    <w:rsid w:val="00A96584"/>
    <w:rsid w:val="00A97F66"/>
    <w:rsid w:val="00AA2103"/>
    <w:rsid w:val="00AA2762"/>
    <w:rsid w:val="00AA33E2"/>
    <w:rsid w:val="00AA4D3F"/>
    <w:rsid w:val="00AB4875"/>
    <w:rsid w:val="00AB4BEB"/>
    <w:rsid w:val="00AB546D"/>
    <w:rsid w:val="00AB66F1"/>
    <w:rsid w:val="00AB67C3"/>
    <w:rsid w:val="00AC0C5E"/>
    <w:rsid w:val="00AC325C"/>
    <w:rsid w:val="00AC5AD2"/>
    <w:rsid w:val="00AD3299"/>
    <w:rsid w:val="00AD424E"/>
    <w:rsid w:val="00AD6322"/>
    <w:rsid w:val="00AD683B"/>
    <w:rsid w:val="00AD71F7"/>
    <w:rsid w:val="00AE01A4"/>
    <w:rsid w:val="00AE0CEF"/>
    <w:rsid w:val="00AE213B"/>
    <w:rsid w:val="00AE2BDD"/>
    <w:rsid w:val="00AE4FA2"/>
    <w:rsid w:val="00AE50D0"/>
    <w:rsid w:val="00AE5790"/>
    <w:rsid w:val="00AE63A7"/>
    <w:rsid w:val="00AF1430"/>
    <w:rsid w:val="00AF148E"/>
    <w:rsid w:val="00AF165F"/>
    <w:rsid w:val="00AF20C4"/>
    <w:rsid w:val="00AF2131"/>
    <w:rsid w:val="00AF462A"/>
    <w:rsid w:val="00B02261"/>
    <w:rsid w:val="00B02C8D"/>
    <w:rsid w:val="00B04DE5"/>
    <w:rsid w:val="00B07940"/>
    <w:rsid w:val="00B10809"/>
    <w:rsid w:val="00B10A9C"/>
    <w:rsid w:val="00B12CFB"/>
    <w:rsid w:val="00B12EA9"/>
    <w:rsid w:val="00B13EE4"/>
    <w:rsid w:val="00B165F2"/>
    <w:rsid w:val="00B175EF"/>
    <w:rsid w:val="00B21AB2"/>
    <w:rsid w:val="00B24158"/>
    <w:rsid w:val="00B2701A"/>
    <w:rsid w:val="00B31297"/>
    <w:rsid w:val="00B331CD"/>
    <w:rsid w:val="00B36EC7"/>
    <w:rsid w:val="00B37EDE"/>
    <w:rsid w:val="00B40E10"/>
    <w:rsid w:val="00B422B3"/>
    <w:rsid w:val="00B46A78"/>
    <w:rsid w:val="00B47CFC"/>
    <w:rsid w:val="00B51260"/>
    <w:rsid w:val="00B52FBF"/>
    <w:rsid w:val="00B54135"/>
    <w:rsid w:val="00B5460C"/>
    <w:rsid w:val="00B60244"/>
    <w:rsid w:val="00B613DC"/>
    <w:rsid w:val="00B6297B"/>
    <w:rsid w:val="00B65916"/>
    <w:rsid w:val="00B70574"/>
    <w:rsid w:val="00B7197D"/>
    <w:rsid w:val="00B72D5E"/>
    <w:rsid w:val="00B7470F"/>
    <w:rsid w:val="00B75F5B"/>
    <w:rsid w:val="00B7709F"/>
    <w:rsid w:val="00B77A97"/>
    <w:rsid w:val="00B81557"/>
    <w:rsid w:val="00B830F3"/>
    <w:rsid w:val="00B83B9E"/>
    <w:rsid w:val="00B85272"/>
    <w:rsid w:val="00B8615C"/>
    <w:rsid w:val="00B90DF8"/>
    <w:rsid w:val="00B915CD"/>
    <w:rsid w:val="00B91989"/>
    <w:rsid w:val="00B91D3B"/>
    <w:rsid w:val="00B927B2"/>
    <w:rsid w:val="00BA1526"/>
    <w:rsid w:val="00BA3ACD"/>
    <w:rsid w:val="00BB09FC"/>
    <w:rsid w:val="00BB6A03"/>
    <w:rsid w:val="00BC07E4"/>
    <w:rsid w:val="00BC2908"/>
    <w:rsid w:val="00BD0528"/>
    <w:rsid w:val="00BD113B"/>
    <w:rsid w:val="00BD234D"/>
    <w:rsid w:val="00BE0418"/>
    <w:rsid w:val="00BE2252"/>
    <w:rsid w:val="00BE3897"/>
    <w:rsid w:val="00BF29F7"/>
    <w:rsid w:val="00BF4D8D"/>
    <w:rsid w:val="00C04125"/>
    <w:rsid w:val="00C054FD"/>
    <w:rsid w:val="00C070B0"/>
    <w:rsid w:val="00C109D2"/>
    <w:rsid w:val="00C1137E"/>
    <w:rsid w:val="00C12F1A"/>
    <w:rsid w:val="00C13267"/>
    <w:rsid w:val="00C15067"/>
    <w:rsid w:val="00C15519"/>
    <w:rsid w:val="00C20265"/>
    <w:rsid w:val="00C26C79"/>
    <w:rsid w:val="00C2716E"/>
    <w:rsid w:val="00C33EBE"/>
    <w:rsid w:val="00C34DFA"/>
    <w:rsid w:val="00C35D44"/>
    <w:rsid w:val="00C40493"/>
    <w:rsid w:val="00C4343D"/>
    <w:rsid w:val="00C435FE"/>
    <w:rsid w:val="00C44744"/>
    <w:rsid w:val="00C454A0"/>
    <w:rsid w:val="00C45AF2"/>
    <w:rsid w:val="00C46870"/>
    <w:rsid w:val="00C50CEE"/>
    <w:rsid w:val="00C53523"/>
    <w:rsid w:val="00C56A78"/>
    <w:rsid w:val="00C615BC"/>
    <w:rsid w:val="00C6337F"/>
    <w:rsid w:val="00C65DAA"/>
    <w:rsid w:val="00C70967"/>
    <w:rsid w:val="00C70F0D"/>
    <w:rsid w:val="00C7149E"/>
    <w:rsid w:val="00C7163C"/>
    <w:rsid w:val="00C73128"/>
    <w:rsid w:val="00C73E34"/>
    <w:rsid w:val="00C74637"/>
    <w:rsid w:val="00C773A6"/>
    <w:rsid w:val="00C77CEF"/>
    <w:rsid w:val="00C83A9F"/>
    <w:rsid w:val="00C86028"/>
    <w:rsid w:val="00C8730F"/>
    <w:rsid w:val="00C87D66"/>
    <w:rsid w:val="00C913C3"/>
    <w:rsid w:val="00C91F32"/>
    <w:rsid w:val="00C92FCD"/>
    <w:rsid w:val="00C93419"/>
    <w:rsid w:val="00C94096"/>
    <w:rsid w:val="00C96D3D"/>
    <w:rsid w:val="00C97675"/>
    <w:rsid w:val="00C97AA4"/>
    <w:rsid w:val="00CA092A"/>
    <w:rsid w:val="00CA1F1D"/>
    <w:rsid w:val="00CA2E66"/>
    <w:rsid w:val="00CA4934"/>
    <w:rsid w:val="00CA5E18"/>
    <w:rsid w:val="00CB0083"/>
    <w:rsid w:val="00CB3028"/>
    <w:rsid w:val="00CB3564"/>
    <w:rsid w:val="00CB36B8"/>
    <w:rsid w:val="00CB6F38"/>
    <w:rsid w:val="00CB7674"/>
    <w:rsid w:val="00CC1E74"/>
    <w:rsid w:val="00CC2911"/>
    <w:rsid w:val="00CC382D"/>
    <w:rsid w:val="00CC414F"/>
    <w:rsid w:val="00CC5724"/>
    <w:rsid w:val="00CC5A8D"/>
    <w:rsid w:val="00CD051D"/>
    <w:rsid w:val="00CD0814"/>
    <w:rsid w:val="00CD3011"/>
    <w:rsid w:val="00CD404C"/>
    <w:rsid w:val="00CD6283"/>
    <w:rsid w:val="00CE2800"/>
    <w:rsid w:val="00CE2942"/>
    <w:rsid w:val="00CE4594"/>
    <w:rsid w:val="00CE539E"/>
    <w:rsid w:val="00CF4DD5"/>
    <w:rsid w:val="00CF4E99"/>
    <w:rsid w:val="00CF59B0"/>
    <w:rsid w:val="00CF6450"/>
    <w:rsid w:val="00D027E1"/>
    <w:rsid w:val="00D0443D"/>
    <w:rsid w:val="00D07706"/>
    <w:rsid w:val="00D1313C"/>
    <w:rsid w:val="00D140FB"/>
    <w:rsid w:val="00D20869"/>
    <w:rsid w:val="00D2223D"/>
    <w:rsid w:val="00D240AB"/>
    <w:rsid w:val="00D26802"/>
    <w:rsid w:val="00D26A92"/>
    <w:rsid w:val="00D30E86"/>
    <w:rsid w:val="00D31BBF"/>
    <w:rsid w:val="00D333E7"/>
    <w:rsid w:val="00D345CC"/>
    <w:rsid w:val="00D351D5"/>
    <w:rsid w:val="00D37388"/>
    <w:rsid w:val="00D42573"/>
    <w:rsid w:val="00D4273C"/>
    <w:rsid w:val="00D42DD7"/>
    <w:rsid w:val="00D43891"/>
    <w:rsid w:val="00D44044"/>
    <w:rsid w:val="00D450BE"/>
    <w:rsid w:val="00D4541D"/>
    <w:rsid w:val="00D4562B"/>
    <w:rsid w:val="00D47099"/>
    <w:rsid w:val="00D51C58"/>
    <w:rsid w:val="00D550B0"/>
    <w:rsid w:val="00D557B6"/>
    <w:rsid w:val="00D57222"/>
    <w:rsid w:val="00D57B35"/>
    <w:rsid w:val="00D6516C"/>
    <w:rsid w:val="00D653BA"/>
    <w:rsid w:val="00D65466"/>
    <w:rsid w:val="00D66492"/>
    <w:rsid w:val="00D6782F"/>
    <w:rsid w:val="00D7046A"/>
    <w:rsid w:val="00D72443"/>
    <w:rsid w:val="00D73071"/>
    <w:rsid w:val="00D7333C"/>
    <w:rsid w:val="00D77E12"/>
    <w:rsid w:val="00D84F1B"/>
    <w:rsid w:val="00D861B4"/>
    <w:rsid w:val="00D86CBA"/>
    <w:rsid w:val="00D87889"/>
    <w:rsid w:val="00D87DAF"/>
    <w:rsid w:val="00D91080"/>
    <w:rsid w:val="00D91A11"/>
    <w:rsid w:val="00D92AFE"/>
    <w:rsid w:val="00D94CC0"/>
    <w:rsid w:val="00D95B81"/>
    <w:rsid w:val="00D967AC"/>
    <w:rsid w:val="00D96F47"/>
    <w:rsid w:val="00D97930"/>
    <w:rsid w:val="00DA3D7F"/>
    <w:rsid w:val="00DA42E0"/>
    <w:rsid w:val="00DA4D3B"/>
    <w:rsid w:val="00DA66FD"/>
    <w:rsid w:val="00DA7BF6"/>
    <w:rsid w:val="00DB1B23"/>
    <w:rsid w:val="00DB33A3"/>
    <w:rsid w:val="00DB3A38"/>
    <w:rsid w:val="00DB562F"/>
    <w:rsid w:val="00DB5AE9"/>
    <w:rsid w:val="00DB643A"/>
    <w:rsid w:val="00DC1198"/>
    <w:rsid w:val="00DC3531"/>
    <w:rsid w:val="00DD1FC9"/>
    <w:rsid w:val="00DD3F78"/>
    <w:rsid w:val="00DD4B92"/>
    <w:rsid w:val="00DD4D0B"/>
    <w:rsid w:val="00DD673A"/>
    <w:rsid w:val="00DE52B7"/>
    <w:rsid w:val="00DE6E27"/>
    <w:rsid w:val="00DF3B54"/>
    <w:rsid w:val="00DF680B"/>
    <w:rsid w:val="00E01778"/>
    <w:rsid w:val="00E02D06"/>
    <w:rsid w:val="00E07FC0"/>
    <w:rsid w:val="00E12B4C"/>
    <w:rsid w:val="00E14845"/>
    <w:rsid w:val="00E14F1E"/>
    <w:rsid w:val="00E14FB8"/>
    <w:rsid w:val="00E1531E"/>
    <w:rsid w:val="00E15AE9"/>
    <w:rsid w:val="00E16784"/>
    <w:rsid w:val="00E16B8C"/>
    <w:rsid w:val="00E16BD1"/>
    <w:rsid w:val="00E17614"/>
    <w:rsid w:val="00E20F6F"/>
    <w:rsid w:val="00E24F9F"/>
    <w:rsid w:val="00E251B4"/>
    <w:rsid w:val="00E3249A"/>
    <w:rsid w:val="00E32ED7"/>
    <w:rsid w:val="00E35EE3"/>
    <w:rsid w:val="00E377BE"/>
    <w:rsid w:val="00E41951"/>
    <w:rsid w:val="00E43597"/>
    <w:rsid w:val="00E44408"/>
    <w:rsid w:val="00E44D56"/>
    <w:rsid w:val="00E44DEB"/>
    <w:rsid w:val="00E457BC"/>
    <w:rsid w:val="00E50062"/>
    <w:rsid w:val="00E519C4"/>
    <w:rsid w:val="00E53991"/>
    <w:rsid w:val="00E55150"/>
    <w:rsid w:val="00E5578B"/>
    <w:rsid w:val="00E60BE8"/>
    <w:rsid w:val="00E61B56"/>
    <w:rsid w:val="00E66844"/>
    <w:rsid w:val="00E671C1"/>
    <w:rsid w:val="00E67A22"/>
    <w:rsid w:val="00E7218B"/>
    <w:rsid w:val="00E74522"/>
    <w:rsid w:val="00E75727"/>
    <w:rsid w:val="00E81B5B"/>
    <w:rsid w:val="00E82A46"/>
    <w:rsid w:val="00E843D7"/>
    <w:rsid w:val="00E863F9"/>
    <w:rsid w:val="00E873D6"/>
    <w:rsid w:val="00E90DCB"/>
    <w:rsid w:val="00E93557"/>
    <w:rsid w:val="00E94AFA"/>
    <w:rsid w:val="00E94BE2"/>
    <w:rsid w:val="00E97966"/>
    <w:rsid w:val="00EA0FA1"/>
    <w:rsid w:val="00EA1420"/>
    <w:rsid w:val="00EA37D9"/>
    <w:rsid w:val="00EA4055"/>
    <w:rsid w:val="00EA5294"/>
    <w:rsid w:val="00EB056A"/>
    <w:rsid w:val="00EB18D3"/>
    <w:rsid w:val="00EB27DF"/>
    <w:rsid w:val="00EB4213"/>
    <w:rsid w:val="00EB6194"/>
    <w:rsid w:val="00EB7359"/>
    <w:rsid w:val="00EC17C0"/>
    <w:rsid w:val="00EC29A6"/>
    <w:rsid w:val="00EC54A3"/>
    <w:rsid w:val="00EC7E44"/>
    <w:rsid w:val="00ED2851"/>
    <w:rsid w:val="00ED2A1C"/>
    <w:rsid w:val="00ED5F02"/>
    <w:rsid w:val="00ED731A"/>
    <w:rsid w:val="00EE1899"/>
    <w:rsid w:val="00EE334B"/>
    <w:rsid w:val="00EE35C2"/>
    <w:rsid w:val="00EF05E6"/>
    <w:rsid w:val="00EF5D0D"/>
    <w:rsid w:val="00EF6F84"/>
    <w:rsid w:val="00F00054"/>
    <w:rsid w:val="00F0033E"/>
    <w:rsid w:val="00F00E1F"/>
    <w:rsid w:val="00F050C1"/>
    <w:rsid w:val="00F06999"/>
    <w:rsid w:val="00F11820"/>
    <w:rsid w:val="00F11E79"/>
    <w:rsid w:val="00F133E0"/>
    <w:rsid w:val="00F15CBA"/>
    <w:rsid w:val="00F20258"/>
    <w:rsid w:val="00F2107E"/>
    <w:rsid w:val="00F232B7"/>
    <w:rsid w:val="00F2390F"/>
    <w:rsid w:val="00F245EC"/>
    <w:rsid w:val="00F25A9E"/>
    <w:rsid w:val="00F30153"/>
    <w:rsid w:val="00F31A73"/>
    <w:rsid w:val="00F339EB"/>
    <w:rsid w:val="00F361DD"/>
    <w:rsid w:val="00F40867"/>
    <w:rsid w:val="00F41619"/>
    <w:rsid w:val="00F46619"/>
    <w:rsid w:val="00F46A1D"/>
    <w:rsid w:val="00F47218"/>
    <w:rsid w:val="00F502BF"/>
    <w:rsid w:val="00F5552A"/>
    <w:rsid w:val="00F572D5"/>
    <w:rsid w:val="00F61F29"/>
    <w:rsid w:val="00F62376"/>
    <w:rsid w:val="00F666E1"/>
    <w:rsid w:val="00F679BF"/>
    <w:rsid w:val="00F67A27"/>
    <w:rsid w:val="00F67AF4"/>
    <w:rsid w:val="00F70FFC"/>
    <w:rsid w:val="00F724F8"/>
    <w:rsid w:val="00F735B0"/>
    <w:rsid w:val="00F74E64"/>
    <w:rsid w:val="00F77A30"/>
    <w:rsid w:val="00F803AB"/>
    <w:rsid w:val="00F8278F"/>
    <w:rsid w:val="00F85434"/>
    <w:rsid w:val="00F85F45"/>
    <w:rsid w:val="00F868D2"/>
    <w:rsid w:val="00F87965"/>
    <w:rsid w:val="00F942DE"/>
    <w:rsid w:val="00F96211"/>
    <w:rsid w:val="00F97951"/>
    <w:rsid w:val="00FA2860"/>
    <w:rsid w:val="00FA3FD4"/>
    <w:rsid w:val="00FA5133"/>
    <w:rsid w:val="00FA564A"/>
    <w:rsid w:val="00FA6B80"/>
    <w:rsid w:val="00FB19C3"/>
    <w:rsid w:val="00FB28F0"/>
    <w:rsid w:val="00FB4F68"/>
    <w:rsid w:val="00FB5D18"/>
    <w:rsid w:val="00FB5D2D"/>
    <w:rsid w:val="00FB72BD"/>
    <w:rsid w:val="00FC0E27"/>
    <w:rsid w:val="00FC110B"/>
    <w:rsid w:val="00FC12EA"/>
    <w:rsid w:val="00FC478D"/>
    <w:rsid w:val="00FC4A29"/>
    <w:rsid w:val="00FC55C0"/>
    <w:rsid w:val="00FC5EB6"/>
    <w:rsid w:val="00FC73B5"/>
    <w:rsid w:val="00FD0AE1"/>
    <w:rsid w:val="00FD5CD9"/>
    <w:rsid w:val="00FE2827"/>
    <w:rsid w:val="00FE3464"/>
    <w:rsid w:val="00FF1E99"/>
    <w:rsid w:val="00FF2033"/>
    <w:rsid w:val="00FF2C69"/>
    <w:rsid w:val="00FF507D"/>
    <w:rsid w:val="00FF5FE0"/>
    <w:rsid w:val="00FF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rFonts w:cs="David"/>
      <w:b/>
      <w:bCs/>
      <w:szCs w:val="24"/>
      <w:u w:val="single"/>
    </w:rPr>
  </w:style>
  <w:style w:type="paragraph" w:styleId="2">
    <w:name w:val="heading 2"/>
    <w:basedOn w:val="a"/>
    <w:next w:val="a"/>
    <w:qFormat/>
    <w:rsid w:val="00BC2908"/>
    <w:pPr>
      <w:keepNext/>
      <w:spacing w:before="240" w:after="60"/>
      <w:outlineLvl w:val="1"/>
    </w:pPr>
    <w:rPr>
      <w:rFonts w:ascii="Arial" w:hAnsi="Arial" w:cs="Arial"/>
      <w:b/>
      <w:bCs/>
      <w:i/>
      <w:iCs/>
      <w:sz w:val="28"/>
      <w:szCs w:val="28"/>
    </w:rPr>
  </w:style>
  <w:style w:type="paragraph" w:styleId="4">
    <w:name w:val="heading 4"/>
    <w:basedOn w:val="a0"/>
    <w:next w:val="a"/>
    <w:qFormat/>
    <w:rsid w:val="00681B55"/>
    <w:pPr>
      <w:spacing w:before="360" w:after="120" w:line="240" w:lineRule="auto"/>
      <w:outlineLvl w:val="3"/>
    </w:pPr>
    <w:rPr>
      <w:rFonts w:ascii="Arial" w:hAnsi="Arial"/>
      <w:color w:val="auto"/>
      <w:spacing w:val="2"/>
      <w:szCs w:val="28"/>
    </w:rPr>
  </w:style>
  <w:style w:type="paragraph" w:styleId="5">
    <w:name w:val="heading 5"/>
    <w:basedOn w:val="a"/>
    <w:next w:val="a"/>
    <w:qFormat/>
    <w:pPr>
      <w:keepNext/>
      <w:spacing w:line="360" w:lineRule="auto"/>
      <w:jc w:val="both"/>
      <w:outlineLvl w:val="4"/>
    </w:pPr>
    <w:rPr>
      <w:rFonts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1"/>
  </w:style>
  <w:style w:type="paragraph" w:styleId="aa">
    <w:name w:val="Body Text"/>
    <w:basedOn w:val="a"/>
    <w:rPr>
      <w:rFonts w:cs="David"/>
      <w:szCs w:val="24"/>
    </w:rPr>
  </w:style>
  <w:style w:type="paragraph" w:styleId="3">
    <w:name w:val="Body Text 3"/>
    <w:basedOn w:val="a"/>
    <w:pPr>
      <w:jc w:val="both"/>
    </w:pPr>
    <w:rPr>
      <w:rFonts w:ascii="Arial" w:hAnsi="Arial" w:cs="David"/>
      <w:color w:val="FF00FF"/>
      <w:sz w:val="24"/>
      <w:szCs w:val="24"/>
    </w:rPr>
  </w:style>
  <w:style w:type="paragraph" w:styleId="20">
    <w:name w:val="Body Text 2"/>
    <w:basedOn w:val="a"/>
    <w:pPr>
      <w:jc w:val="both"/>
    </w:pPr>
    <w:rPr>
      <w:rFonts w:ascii="Arial" w:hAnsi="Arial" w:cs="David"/>
      <w:sz w:val="24"/>
      <w:szCs w:val="24"/>
    </w:rPr>
  </w:style>
  <w:style w:type="paragraph" w:styleId="ab">
    <w:name w:val="Balloon Text"/>
    <w:basedOn w:val="a"/>
    <w:semiHidden/>
    <w:rsid w:val="00295A0A"/>
    <w:rPr>
      <w:rFonts w:ascii="Tahoma" w:hAnsi="Tahoma" w:cs="Tahoma"/>
      <w:sz w:val="16"/>
      <w:szCs w:val="16"/>
    </w:rPr>
  </w:style>
  <w:style w:type="character" w:styleId="FollowedHyperlink">
    <w:name w:val="FollowedHyperlink"/>
    <w:rsid w:val="00EA5294"/>
    <w:rPr>
      <w:color w:val="800080"/>
      <w:u w:val="single"/>
    </w:rPr>
  </w:style>
  <w:style w:type="table" w:styleId="ac">
    <w:name w:val="Table Grid"/>
    <w:basedOn w:val="a2"/>
    <w:rsid w:val="00E44DE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1">
    <w:name w:val="paragraphtext1"/>
    <w:rsid w:val="00886DED"/>
    <w:rPr>
      <w:rFonts w:ascii="Arial" w:hAnsi="Arial" w:cs="Arial" w:hint="default"/>
      <w:b w:val="0"/>
      <w:bCs w:val="0"/>
      <w:color w:val="444444"/>
      <w:sz w:val="18"/>
      <w:szCs w:val="18"/>
    </w:rPr>
  </w:style>
  <w:style w:type="character" w:styleId="Hyperlink">
    <w:name w:val="Hyperlink"/>
    <w:rsid w:val="008C6590"/>
    <w:rPr>
      <w:rFonts w:ascii="Arial" w:hAnsi="Arial" w:cs="Arial" w:hint="default"/>
      <w:i w:val="0"/>
      <w:iCs w:val="0"/>
      <w:color w:val="0B3F79"/>
      <w:sz w:val="18"/>
      <w:szCs w:val="18"/>
      <w:u w:val="single"/>
    </w:rPr>
  </w:style>
  <w:style w:type="paragraph" w:customStyle="1" w:styleId="21">
    <w:name w:val="סגנון2"/>
    <w:basedOn w:val="a"/>
    <w:rsid w:val="00141783"/>
    <w:pPr>
      <w:spacing w:before="120" w:line="240" w:lineRule="atLeast"/>
      <w:ind w:left="1134" w:right="1134"/>
      <w:jc w:val="both"/>
    </w:pPr>
    <w:rPr>
      <w:rFonts w:cs="David"/>
      <w:szCs w:val="24"/>
      <w:lang w:eastAsia="he-IL"/>
    </w:rPr>
  </w:style>
  <w:style w:type="character" w:styleId="ad">
    <w:name w:val="footnote reference"/>
    <w:semiHidden/>
    <w:rsid w:val="00141783"/>
    <w:rPr>
      <w:vertAlign w:val="superscript"/>
    </w:rPr>
  </w:style>
  <w:style w:type="paragraph" w:customStyle="1" w:styleId="10">
    <w:name w:val="סגנון1"/>
    <w:basedOn w:val="a"/>
    <w:rsid w:val="00141783"/>
    <w:pPr>
      <w:spacing w:before="120"/>
      <w:ind w:left="964" w:right="964" w:hanging="454"/>
      <w:jc w:val="both"/>
    </w:pPr>
    <w:rPr>
      <w:rFonts w:cs="David"/>
      <w:szCs w:val="24"/>
      <w:lang w:eastAsia="he-IL"/>
    </w:rPr>
  </w:style>
  <w:style w:type="paragraph" w:styleId="ae">
    <w:name w:val="footnote text"/>
    <w:basedOn w:val="a"/>
    <w:semiHidden/>
    <w:rsid w:val="00141783"/>
    <w:pPr>
      <w:ind w:left="340" w:right="340" w:hanging="340"/>
      <w:jc w:val="both"/>
    </w:pPr>
    <w:rPr>
      <w:rFonts w:cs="David"/>
      <w:szCs w:val="24"/>
      <w:lang w:eastAsia="he-IL"/>
    </w:rPr>
  </w:style>
  <w:style w:type="paragraph" w:customStyle="1" w:styleId="af">
    <w:name w:val="טקסט"/>
    <w:basedOn w:val="a"/>
    <w:rsid w:val="00141783"/>
    <w:pPr>
      <w:spacing w:before="120" w:line="240" w:lineRule="atLeast"/>
      <w:ind w:left="510" w:right="510"/>
      <w:jc w:val="both"/>
    </w:pPr>
    <w:rPr>
      <w:rFonts w:cs="David"/>
      <w:szCs w:val="24"/>
      <w:lang w:eastAsia="he-IL"/>
    </w:rPr>
  </w:style>
  <w:style w:type="character" w:customStyle="1" w:styleId="HebrewChar">
    <w:name w:val="Hebrew_Char"/>
    <w:rsid w:val="00AB66F1"/>
  </w:style>
  <w:style w:type="paragraph" w:styleId="af0">
    <w:name w:val="List Paragraph"/>
    <w:basedOn w:val="a"/>
    <w:uiPriority w:val="34"/>
    <w:qFormat/>
    <w:rsid w:val="00116EE2"/>
    <w:pPr>
      <w:ind w:left="720"/>
      <w:contextualSpacing/>
    </w:pPr>
    <w:rPr>
      <w:rFonts w:ascii="Arial" w:hAnsi="Arial" w:cs="David"/>
      <w:sz w:val="1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rFonts w:cs="David"/>
      <w:b/>
      <w:bCs/>
      <w:szCs w:val="24"/>
      <w:u w:val="single"/>
    </w:rPr>
  </w:style>
  <w:style w:type="paragraph" w:styleId="2">
    <w:name w:val="heading 2"/>
    <w:basedOn w:val="a"/>
    <w:next w:val="a"/>
    <w:qFormat/>
    <w:rsid w:val="00BC2908"/>
    <w:pPr>
      <w:keepNext/>
      <w:spacing w:before="240" w:after="60"/>
      <w:outlineLvl w:val="1"/>
    </w:pPr>
    <w:rPr>
      <w:rFonts w:ascii="Arial" w:hAnsi="Arial" w:cs="Arial"/>
      <w:b/>
      <w:bCs/>
      <w:i/>
      <w:iCs/>
      <w:sz w:val="28"/>
      <w:szCs w:val="28"/>
    </w:rPr>
  </w:style>
  <w:style w:type="paragraph" w:styleId="4">
    <w:name w:val="heading 4"/>
    <w:basedOn w:val="a0"/>
    <w:next w:val="a"/>
    <w:qFormat/>
    <w:rsid w:val="00681B55"/>
    <w:pPr>
      <w:spacing w:before="360" w:after="120" w:line="240" w:lineRule="auto"/>
      <w:outlineLvl w:val="3"/>
    </w:pPr>
    <w:rPr>
      <w:rFonts w:ascii="Arial" w:hAnsi="Arial"/>
      <w:color w:val="auto"/>
      <w:spacing w:val="2"/>
      <w:szCs w:val="28"/>
    </w:rPr>
  </w:style>
  <w:style w:type="paragraph" w:styleId="5">
    <w:name w:val="heading 5"/>
    <w:basedOn w:val="a"/>
    <w:next w:val="a"/>
    <w:qFormat/>
    <w:pPr>
      <w:keepNext/>
      <w:spacing w:line="360" w:lineRule="auto"/>
      <w:jc w:val="both"/>
      <w:outlineLvl w:val="4"/>
    </w:pPr>
    <w:rPr>
      <w:rFonts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1"/>
  </w:style>
  <w:style w:type="paragraph" w:styleId="aa">
    <w:name w:val="Body Text"/>
    <w:basedOn w:val="a"/>
    <w:rPr>
      <w:rFonts w:cs="David"/>
      <w:szCs w:val="24"/>
    </w:rPr>
  </w:style>
  <w:style w:type="paragraph" w:styleId="3">
    <w:name w:val="Body Text 3"/>
    <w:basedOn w:val="a"/>
    <w:pPr>
      <w:jc w:val="both"/>
    </w:pPr>
    <w:rPr>
      <w:rFonts w:ascii="Arial" w:hAnsi="Arial" w:cs="David"/>
      <w:color w:val="FF00FF"/>
      <w:sz w:val="24"/>
      <w:szCs w:val="24"/>
    </w:rPr>
  </w:style>
  <w:style w:type="paragraph" w:styleId="20">
    <w:name w:val="Body Text 2"/>
    <w:basedOn w:val="a"/>
    <w:pPr>
      <w:jc w:val="both"/>
    </w:pPr>
    <w:rPr>
      <w:rFonts w:ascii="Arial" w:hAnsi="Arial" w:cs="David"/>
      <w:sz w:val="24"/>
      <w:szCs w:val="24"/>
    </w:rPr>
  </w:style>
  <w:style w:type="paragraph" w:styleId="ab">
    <w:name w:val="Balloon Text"/>
    <w:basedOn w:val="a"/>
    <w:semiHidden/>
    <w:rsid w:val="00295A0A"/>
    <w:rPr>
      <w:rFonts w:ascii="Tahoma" w:hAnsi="Tahoma" w:cs="Tahoma"/>
      <w:sz w:val="16"/>
      <w:szCs w:val="16"/>
    </w:rPr>
  </w:style>
  <w:style w:type="character" w:styleId="FollowedHyperlink">
    <w:name w:val="FollowedHyperlink"/>
    <w:rsid w:val="00EA5294"/>
    <w:rPr>
      <w:color w:val="800080"/>
      <w:u w:val="single"/>
    </w:rPr>
  </w:style>
  <w:style w:type="table" w:styleId="ac">
    <w:name w:val="Table Grid"/>
    <w:basedOn w:val="a2"/>
    <w:rsid w:val="00E44DE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1">
    <w:name w:val="paragraphtext1"/>
    <w:rsid w:val="00886DED"/>
    <w:rPr>
      <w:rFonts w:ascii="Arial" w:hAnsi="Arial" w:cs="Arial" w:hint="default"/>
      <w:b w:val="0"/>
      <w:bCs w:val="0"/>
      <w:color w:val="444444"/>
      <w:sz w:val="18"/>
      <w:szCs w:val="18"/>
    </w:rPr>
  </w:style>
  <w:style w:type="character" w:styleId="Hyperlink">
    <w:name w:val="Hyperlink"/>
    <w:rsid w:val="008C6590"/>
    <w:rPr>
      <w:rFonts w:ascii="Arial" w:hAnsi="Arial" w:cs="Arial" w:hint="default"/>
      <w:i w:val="0"/>
      <w:iCs w:val="0"/>
      <w:color w:val="0B3F79"/>
      <w:sz w:val="18"/>
      <w:szCs w:val="18"/>
      <w:u w:val="single"/>
    </w:rPr>
  </w:style>
  <w:style w:type="paragraph" w:customStyle="1" w:styleId="21">
    <w:name w:val="סגנון2"/>
    <w:basedOn w:val="a"/>
    <w:rsid w:val="00141783"/>
    <w:pPr>
      <w:spacing w:before="120" w:line="240" w:lineRule="atLeast"/>
      <w:ind w:left="1134" w:right="1134"/>
      <w:jc w:val="both"/>
    </w:pPr>
    <w:rPr>
      <w:rFonts w:cs="David"/>
      <w:szCs w:val="24"/>
      <w:lang w:eastAsia="he-IL"/>
    </w:rPr>
  </w:style>
  <w:style w:type="character" w:styleId="ad">
    <w:name w:val="footnote reference"/>
    <w:semiHidden/>
    <w:rsid w:val="00141783"/>
    <w:rPr>
      <w:vertAlign w:val="superscript"/>
    </w:rPr>
  </w:style>
  <w:style w:type="paragraph" w:customStyle="1" w:styleId="10">
    <w:name w:val="סגנון1"/>
    <w:basedOn w:val="a"/>
    <w:rsid w:val="00141783"/>
    <w:pPr>
      <w:spacing w:before="120"/>
      <w:ind w:left="964" w:right="964" w:hanging="454"/>
      <w:jc w:val="both"/>
    </w:pPr>
    <w:rPr>
      <w:rFonts w:cs="David"/>
      <w:szCs w:val="24"/>
      <w:lang w:eastAsia="he-IL"/>
    </w:rPr>
  </w:style>
  <w:style w:type="paragraph" w:styleId="ae">
    <w:name w:val="footnote text"/>
    <w:basedOn w:val="a"/>
    <w:semiHidden/>
    <w:rsid w:val="00141783"/>
    <w:pPr>
      <w:ind w:left="340" w:right="340" w:hanging="340"/>
      <w:jc w:val="both"/>
    </w:pPr>
    <w:rPr>
      <w:rFonts w:cs="David"/>
      <w:szCs w:val="24"/>
      <w:lang w:eastAsia="he-IL"/>
    </w:rPr>
  </w:style>
  <w:style w:type="paragraph" w:customStyle="1" w:styleId="af">
    <w:name w:val="טקסט"/>
    <w:basedOn w:val="a"/>
    <w:rsid w:val="00141783"/>
    <w:pPr>
      <w:spacing w:before="120" w:line="240" w:lineRule="atLeast"/>
      <w:ind w:left="510" w:right="510"/>
      <w:jc w:val="both"/>
    </w:pPr>
    <w:rPr>
      <w:rFonts w:cs="David"/>
      <w:szCs w:val="24"/>
      <w:lang w:eastAsia="he-IL"/>
    </w:rPr>
  </w:style>
  <w:style w:type="character" w:customStyle="1" w:styleId="HebrewChar">
    <w:name w:val="Hebrew_Char"/>
    <w:rsid w:val="00AB66F1"/>
  </w:style>
  <w:style w:type="paragraph" w:styleId="af0">
    <w:name w:val="List Paragraph"/>
    <w:basedOn w:val="a"/>
    <w:uiPriority w:val="34"/>
    <w:qFormat/>
    <w:rsid w:val="00116EE2"/>
    <w:pPr>
      <w:ind w:left="720"/>
      <w:contextualSpacing/>
    </w:pPr>
    <w:rPr>
      <w:rFonts w:ascii="Arial"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kisrael.gov.il/"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tase.co.il/TASE/Products/Bonds/Overview/Overview.htm" TargetMode="External"/><Relationship Id="rId4" Type="http://schemas.microsoft.com/office/2007/relationships/stylesWithEffects" Target="stylesWithEffects.xml"/><Relationship Id="rId9" Type="http://schemas.openxmlformats.org/officeDocument/2006/relationships/hyperlink" Target="http://www.gov.i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01597-1F1A-4767-9193-81F8E98D5136}"/>
</file>

<file path=customXml/itemProps2.xml><?xml version="1.0" encoding="utf-8"?>
<ds:datastoreItem xmlns:ds="http://schemas.openxmlformats.org/officeDocument/2006/customXml" ds:itemID="{82F9B3F2-3ADD-40B5-B49E-B3BCC7E2B4BE}"/>
</file>

<file path=customXml/itemProps3.xml><?xml version="1.0" encoding="utf-8"?>
<ds:datastoreItem xmlns:ds="http://schemas.openxmlformats.org/officeDocument/2006/customXml" ds:itemID="{92FC47B7-0FE9-460B-9977-49EADA774915}"/>
</file>

<file path=customXml/itemProps4.xml><?xml version="1.0" encoding="utf-8"?>
<ds:datastoreItem xmlns:ds="http://schemas.openxmlformats.org/officeDocument/2006/customXml" ds:itemID="{37DD1718-FEBD-4585-A0DC-CE66EE8B1DE0}"/>
</file>

<file path=docProps/app.xml><?xml version="1.0" encoding="utf-8"?>
<Properties xmlns="http://schemas.openxmlformats.org/officeDocument/2006/extended-properties" xmlns:vt="http://schemas.openxmlformats.org/officeDocument/2006/docPropsVTypes">
  <Template>Normal.dotm</Template>
  <TotalTime>9</TotalTime>
  <Pages>3</Pages>
  <Words>1134</Words>
  <Characters>5903</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פרק  4  -  מסחר ושירותים</vt:lpstr>
    </vt:vector>
  </TitlesOfParts>
  <Company>עיריית ת"א-יפו</Company>
  <LinksUpToDate>false</LinksUpToDate>
  <CharactersWithSpaces>7023</CharactersWithSpaces>
  <SharedDoc>false</SharedDoc>
  <HLinks>
    <vt:vector size="18" baseType="variant">
      <vt:variant>
        <vt:i4>5898332</vt:i4>
      </vt:variant>
      <vt:variant>
        <vt:i4>6</vt:i4>
      </vt:variant>
      <vt:variant>
        <vt:i4>0</vt:i4>
      </vt:variant>
      <vt:variant>
        <vt:i4>5</vt:i4>
      </vt:variant>
      <vt:variant>
        <vt:lpwstr>http://www.bankisrael.gov.il/</vt:lpwstr>
      </vt:variant>
      <vt:variant>
        <vt:lpwstr/>
      </vt:variant>
      <vt:variant>
        <vt:i4>6488160</vt:i4>
      </vt:variant>
      <vt:variant>
        <vt:i4>3</vt:i4>
      </vt:variant>
      <vt:variant>
        <vt:i4>0</vt:i4>
      </vt:variant>
      <vt:variant>
        <vt:i4>5</vt:i4>
      </vt:variant>
      <vt:variant>
        <vt:lpwstr>http://www.tase.co.il/TASE/Products/Bonds/Overview/Overview.htm</vt:lpwstr>
      </vt:variant>
      <vt:variant>
        <vt:lpwstr/>
      </vt:variant>
      <vt:variant>
        <vt:i4>8126589</vt:i4>
      </vt:variant>
      <vt:variant>
        <vt:i4>0</vt:i4>
      </vt:variant>
      <vt:variant>
        <vt:i4>0</vt:i4>
      </vt:variant>
      <vt:variant>
        <vt:i4>5</vt:i4>
      </vt:variant>
      <vt:variant>
        <vt:lpwstr>http://www.gov.il/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4  -  מסחר ושירותים</dc:title>
  <dc:creator>בן ארבון איילה</dc:creator>
  <cp:lastModifiedBy>שירית דרמן - רכזת סקרים ומחקרים</cp:lastModifiedBy>
  <cp:revision>5</cp:revision>
  <cp:lastPrinted>2016-11-17T12:58:00Z</cp:lastPrinted>
  <dcterms:created xsi:type="dcterms:W3CDTF">2018-01-23T07:10:00Z</dcterms:created>
  <dcterms:modified xsi:type="dcterms:W3CDTF">2018-10-18T09:32:00Z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